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inorAscii" w:hAnsiTheme="minorAscii"/>
          <w:b/>
          <w:bCs/>
          <w:sz w:val="44"/>
          <w:szCs w:val="44"/>
          <w:lang w:val="en-US" w:eastAsia="zh-CN"/>
        </w:rPr>
      </w:pPr>
      <w:r>
        <w:rPr>
          <w:rFonts w:hint="default" w:asciiTheme="minorAscii" w:hAnsiTheme="minorAscii"/>
          <w:b/>
          <w:bCs/>
          <w:sz w:val="44"/>
          <w:szCs w:val="44"/>
          <w:lang w:val="en-US" w:eastAsia="zh-CN"/>
        </w:rPr>
        <w:t>玉溪矿业有限公司关于</w:t>
      </w:r>
      <w:r>
        <w:rPr>
          <w:rFonts w:hint="eastAsia" w:asciiTheme="minorAscii" w:hAnsiTheme="minorAscii"/>
          <w:b/>
          <w:bCs/>
          <w:sz w:val="44"/>
          <w:szCs w:val="44"/>
          <w:lang w:val="en-US" w:eastAsia="zh-CN"/>
        </w:rPr>
        <w:t>大红山</w:t>
      </w:r>
      <w:r>
        <w:rPr>
          <w:rFonts w:hint="default" w:asciiTheme="minorAscii" w:hAnsiTheme="minorAscii"/>
          <w:b/>
          <w:bCs/>
          <w:sz w:val="44"/>
          <w:szCs w:val="44"/>
          <w:lang w:val="en-US" w:eastAsia="zh-CN"/>
        </w:rPr>
        <w:t>龙都尾矿库生态环境问题整改情况的报告</w:t>
      </w:r>
    </w:p>
    <w:p>
      <w:pPr>
        <w:jc w:val="center"/>
        <w:rPr>
          <w:rFonts w:hint="default" w:asciiTheme="minorAscii" w:hAnsiTheme="minorAscii"/>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eastAsia="仿宋_GB2312" w:cs="仿宋_GB2312" w:asciiTheme="minorAscii" w:hAnsiTheme="minorAscii"/>
          <w:b w:val="0"/>
          <w:bCs w:val="0"/>
          <w:sz w:val="32"/>
          <w:szCs w:val="32"/>
          <w:lang w:val="en-US" w:eastAsia="zh-CN"/>
        </w:rPr>
      </w:pPr>
      <w:r>
        <w:rPr>
          <w:rFonts w:hint="default" w:eastAsia="仿宋_GB2312" w:cs="仿宋_GB2312" w:asciiTheme="minorAscii" w:hAnsiTheme="minorAscii"/>
          <w:b w:val="0"/>
          <w:bCs w:val="0"/>
          <w:sz w:val="32"/>
          <w:szCs w:val="32"/>
          <w:lang w:val="en-US" w:eastAsia="zh-CN"/>
        </w:rPr>
        <w:t>玉溪市生态环境局：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eastAsia="仿宋_GB2312" w:cs="仿宋_GB2312" w:asciiTheme="minorAscii" w:hAnsiTheme="minorAscii"/>
          <w:b w:val="0"/>
          <w:bCs w:val="0"/>
          <w:sz w:val="32"/>
          <w:szCs w:val="32"/>
          <w:lang w:val="en-US" w:eastAsia="zh-CN"/>
        </w:rPr>
      </w:pPr>
      <w:r>
        <w:rPr>
          <w:rFonts w:hint="default" w:eastAsia="仿宋_GB2312" w:cs="仿宋_GB2312" w:asciiTheme="minorAscii" w:hAnsiTheme="minorAscii"/>
          <w:b w:val="0"/>
          <w:bCs w:val="0"/>
          <w:sz w:val="32"/>
          <w:szCs w:val="32"/>
          <w:lang w:val="en-US" w:eastAsia="zh-CN"/>
        </w:rPr>
        <w:t>我公司根据云南省生态环境厅《关于加快推进中央生态环境保护督察反馈部分涉重金属废渣堆存点风险防控不到位问题整改工作的函》（</w:t>
      </w:r>
      <w:bookmarkStart w:id="0" w:name="OLE_LINK1"/>
      <w:r>
        <w:rPr>
          <w:rFonts w:hint="default" w:eastAsia="仿宋_GB2312" w:cs="仿宋_GB2312" w:asciiTheme="minorAscii" w:hAnsiTheme="minorAscii"/>
          <w:b w:val="0"/>
          <w:bCs w:val="0"/>
          <w:sz w:val="32"/>
          <w:szCs w:val="32"/>
          <w:lang w:val="en-US" w:eastAsia="zh-CN"/>
        </w:rPr>
        <w:t>云环督字〔2022〕74号</w:t>
      </w:r>
      <w:bookmarkEnd w:id="0"/>
      <w:r>
        <w:rPr>
          <w:rFonts w:hint="default" w:eastAsia="仿宋_GB2312" w:cs="仿宋_GB2312" w:asciiTheme="minorAscii" w:hAnsiTheme="minorAscii"/>
          <w:b w:val="0"/>
          <w:bCs w:val="0"/>
          <w:sz w:val="32"/>
          <w:szCs w:val="32"/>
          <w:lang w:val="en-US" w:eastAsia="zh-CN"/>
        </w:rPr>
        <w:t>）、《玉溪市贯彻落实中央生态环境保护督察报告反馈意见整改方案》（玉委〔2022〕579号）文件</w:t>
      </w:r>
      <w:r>
        <w:rPr>
          <w:rFonts w:hint="eastAsia" w:eastAsia="仿宋_GB2312" w:cs="仿宋_GB2312" w:asciiTheme="minorAscii" w:hAnsiTheme="minorAscii"/>
          <w:b w:val="0"/>
          <w:bCs w:val="0"/>
          <w:sz w:val="32"/>
          <w:szCs w:val="32"/>
          <w:lang w:val="en-US" w:eastAsia="zh-CN"/>
        </w:rPr>
        <w:t>要求</w:t>
      </w:r>
      <w:r>
        <w:rPr>
          <w:rFonts w:hint="default" w:eastAsia="仿宋_GB2312" w:cs="仿宋_GB2312" w:asciiTheme="minorAscii" w:hAnsiTheme="minorAscii"/>
          <w:b w:val="0"/>
          <w:bCs w:val="0"/>
          <w:sz w:val="32"/>
          <w:szCs w:val="32"/>
          <w:lang w:val="en-US" w:eastAsia="zh-CN"/>
        </w:rPr>
        <w:t>，积极组织大红山龙都尾矿库生态环境问题整改工作，具体整改情况如下：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w:t>
      </w:r>
      <w:r>
        <w:rPr>
          <w:rFonts w:hint="default" w:ascii="黑体" w:hAnsi="黑体" w:eastAsia="黑体" w:cs="黑体"/>
          <w:b w:val="0"/>
          <w:bCs w:val="0"/>
          <w:sz w:val="32"/>
          <w:szCs w:val="32"/>
          <w:lang w:val="en-US" w:eastAsia="zh-CN"/>
        </w:rPr>
        <w:t>云环督字〔2022〕74号</w:t>
      </w:r>
      <w:r>
        <w:rPr>
          <w:rFonts w:hint="eastAsia" w:ascii="黑体" w:hAnsi="黑体" w:eastAsia="黑体" w:cs="黑体"/>
          <w:b w:val="0"/>
          <w:bCs w:val="0"/>
          <w:sz w:val="32"/>
          <w:szCs w:val="32"/>
          <w:lang w:val="en-US" w:eastAsia="zh-CN"/>
        </w:rPr>
        <w:t>文件指出的生态环境问题</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eastAsia="仿宋_GB2312" w:cs="仿宋_GB2312" w:asciiTheme="minorAscii" w:hAnsiTheme="minorAscii"/>
          <w:b w:val="0"/>
          <w:bCs w:val="0"/>
          <w:sz w:val="32"/>
          <w:szCs w:val="32"/>
          <w:lang w:val="en-US" w:eastAsia="zh-CN"/>
        </w:rPr>
      </w:pPr>
      <w:r>
        <w:rPr>
          <w:rFonts w:hint="default" w:eastAsia="仿宋_GB2312" w:cs="仿宋_GB2312" w:asciiTheme="minorAscii" w:hAnsiTheme="minorAscii"/>
          <w:b w:val="0"/>
          <w:bCs w:val="0"/>
          <w:sz w:val="32"/>
          <w:szCs w:val="32"/>
          <w:lang w:val="en-US" w:eastAsia="zh-CN"/>
        </w:rPr>
        <w:t>问题：大红山龙都尾矿库中线法筑坝有一定扬尘排放。</w:t>
      </w:r>
    </w:p>
    <w:p>
      <w:pPr>
        <w:ind w:firstLine="640" w:firstLineChars="200"/>
        <w:jc w:val="both"/>
        <w:rPr>
          <w:rFonts w:hint="default" w:eastAsia="仿宋_GB2312" w:cs="仿宋_GB2312" w:asciiTheme="minorAscii" w:hAnsiTheme="minorAscii"/>
          <w:b w:val="0"/>
          <w:bCs w:val="0"/>
          <w:sz w:val="32"/>
          <w:szCs w:val="32"/>
          <w:lang w:val="en-US" w:eastAsia="zh-CN"/>
        </w:rPr>
      </w:pPr>
      <w:bookmarkStart w:id="1" w:name="OLE_LINK2"/>
      <w:r>
        <w:rPr>
          <w:rFonts w:hint="default" w:eastAsia="仿宋_GB2312" w:cs="Cambria" w:asciiTheme="minorAscii" w:hAnsiTheme="minorAscii"/>
          <w:sz w:val="32"/>
          <w:szCs w:val="32"/>
        </w:rPr>
        <w:t>整改情况：</w:t>
      </w:r>
      <w:r>
        <w:rPr>
          <w:rFonts w:hint="eastAsia" w:eastAsia="仿宋_GB2312" w:cs="Cambria" w:asciiTheme="minorAscii" w:hAnsiTheme="minorAscii"/>
          <w:sz w:val="32"/>
          <w:szCs w:val="32"/>
          <w:lang w:val="en-US" w:eastAsia="zh-CN"/>
        </w:rPr>
        <w:t>我公司</w:t>
      </w:r>
      <w:r>
        <w:rPr>
          <w:rFonts w:hint="default" w:eastAsia="仿宋_GB2312" w:cs="Cambria" w:asciiTheme="minorAscii" w:hAnsiTheme="minorAscii"/>
          <w:sz w:val="32"/>
          <w:szCs w:val="32"/>
          <w:lang w:val="en-US" w:eastAsia="zh-CN"/>
        </w:rPr>
        <w:t>组织尾矿工区在尾矿筑坝的18级平台上分别设置洒水降尘设施，洒水喷头间距30米一个，共设置洒水喷头约300个，全面覆盖中线法筑坝区域，有效控制扬尘产生。同时在碎石筑坝期间，对运输道路旁设置洒水降尘设施，有效控制道路扬尘</w:t>
      </w:r>
      <w:r>
        <w:rPr>
          <w:rFonts w:hint="eastAsia" w:eastAsia="仿宋_GB2312" w:cs="Cambria" w:asciiTheme="minorAscii" w:hAnsiTheme="minorAscii"/>
          <w:sz w:val="32"/>
          <w:szCs w:val="32"/>
          <w:lang w:val="en-US" w:eastAsia="zh-CN"/>
        </w:rPr>
        <w:t>。建立了降尘设施检查维护记录，确保降尘设施正常运行。</w:t>
      </w:r>
      <w:bookmarkEnd w:id="1"/>
    </w:p>
    <w:p>
      <w:pPr>
        <w:keepNext w:val="0"/>
        <w:keepLines w:val="0"/>
        <w:widowControl/>
        <w:suppressLineNumbers w:val="0"/>
        <w:ind w:firstLine="640"/>
        <w:jc w:val="left"/>
        <w:rPr>
          <w:rFonts w:hint="default" w:eastAsia="仿宋_GB2312" w:cs="仿宋_GB2312" w:asciiTheme="minorAscii" w:hAnsiTheme="minorAscii"/>
          <w:b w:val="0"/>
          <w:bCs w:val="0"/>
          <w:sz w:val="32"/>
          <w:szCs w:val="32"/>
          <w:lang w:val="en-US" w:eastAsia="zh-CN"/>
        </w:rPr>
      </w:pPr>
      <w:r>
        <w:rPr>
          <w:rFonts w:hint="eastAsia" w:eastAsia="仿宋_GB2312" w:cs="仿宋_GB2312" w:asciiTheme="minorAscii" w:hAnsiTheme="minorAscii"/>
          <w:b w:val="0"/>
          <w:bCs w:val="0"/>
          <w:sz w:val="32"/>
          <w:szCs w:val="32"/>
          <w:lang w:val="en-US" w:eastAsia="zh-CN"/>
        </w:rPr>
        <w:t>整改效果：</w:t>
      </w:r>
      <w:r>
        <w:rPr>
          <w:rFonts w:hint="default" w:eastAsia="仿宋_GB2312" w:cs="仿宋_GB2312" w:asciiTheme="minorAscii" w:hAnsiTheme="minorAscii"/>
          <w:b w:val="0"/>
          <w:bCs w:val="0"/>
          <w:sz w:val="32"/>
          <w:szCs w:val="32"/>
          <w:lang w:val="en-US" w:eastAsia="zh-CN"/>
        </w:rPr>
        <w:t>通过以上降尘措施的实施，有效降低了大红山龙都尾矿库中线法筑坝扬尘，保护了周边环境</w:t>
      </w:r>
      <w:r>
        <w:rPr>
          <w:rFonts w:hint="eastAsia" w:eastAsia="仿宋_GB2312" w:cs="仿宋_GB2312" w:asciiTheme="minorAscii" w:hAnsiTheme="minorAscii"/>
          <w:b w:val="0"/>
          <w:bCs w:val="0"/>
          <w:sz w:val="32"/>
          <w:szCs w:val="32"/>
          <w:lang w:val="en-US" w:eastAsia="zh-CN"/>
        </w:rPr>
        <w:t>。</w:t>
      </w:r>
      <w:r>
        <w:rPr>
          <w:rFonts w:hint="default" w:eastAsia="仿宋_GB2312" w:cs="仿宋_GB2312" w:asciiTheme="minorAscii" w:hAnsiTheme="minorAscii"/>
          <w:b w:val="0"/>
          <w:bCs w:val="0"/>
          <w:sz w:val="32"/>
          <w:szCs w:val="32"/>
          <w:lang w:val="en-US" w:eastAsia="zh-CN"/>
        </w:rPr>
        <w:t>根据季度尾矿库筑坝区域无组织排放监测显示，总悬浮物浓度均小于1mg/m</w:t>
      </w:r>
      <w:r>
        <w:rPr>
          <w:rFonts w:hint="default" w:eastAsia="仿宋_GB2312" w:cs="仿宋_GB2312" w:asciiTheme="minorAscii" w:hAnsiTheme="minorAscii"/>
          <w:b w:val="0"/>
          <w:bCs w:val="0"/>
          <w:sz w:val="32"/>
          <w:szCs w:val="32"/>
          <w:vertAlign w:val="superscript"/>
          <w:lang w:val="en-US" w:eastAsia="zh-CN"/>
        </w:rPr>
        <w:t>3</w:t>
      </w:r>
      <w:r>
        <w:rPr>
          <w:rFonts w:hint="default" w:eastAsia="仿宋_GB2312" w:cs="仿宋_GB2312" w:asciiTheme="minorAscii" w:hAnsiTheme="minorAscii"/>
          <w:b w:val="0"/>
          <w:bCs w:val="0"/>
          <w:sz w:val="32"/>
          <w:szCs w:val="32"/>
          <w:lang w:val="en-US" w:eastAsia="zh-CN"/>
        </w:rPr>
        <w:t>,满足《铜、镍、钴工业污染源排放标准》(GB25467-2010)表 6 现有和新建企业边界大气污染物浓度限值标准。</w:t>
      </w:r>
    </w:p>
    <w:p>
      <w:pPr>
        <w:ind w:firstLine="640" w:firstLineChars="200"/>
        <w:jc w:val="both"/>
        <w:rPr>
          <w:rFonts w:hint="eastAsia" w:eastAsia="仿宋_GB2312" w:cs="仿宋_GB2312" w:asciiTheme="minorAscii" w:hAnsiTheme="minorAscii"/>
          <w:b w:val="0"/>
          <w:bCs w:val="0"/>
          <w:sz w:val="32"/>
          <w:szCs w:val="32"/>
          <w:lang w:val="en-US" w:eastAsia="zh-CN"/>
        </w:rPr>
      </w:pPr>
      <w:r>
        <w:rPr>
          <w:rFonts w:hint="eastAsia" w:eastAsia="仿宋_GB2312" w:cs="仿宋_GB2312" w:asciiTheme="minorAscii" w:hAnsiTheme="minorAscii"/>
          <w:b w:val="0"/>
          <w:bCs w:val="0"/>
          <w:sz w:val="32"/>
          <w:szCs w:val="32"/>
          <w:lang w:val="en-US" w:eastAsia="zh-CN"/>
        </w:rPr>
        <w:t>整改结论：已完成整改</w:t>
      </w:r>
    </w:p>
    <w:p>
      <w:pPr>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二、大红山龙都尾矿库污染防治方案提出的污染防治工程措施</w:t>
      </w:r>
    </w:p>
    <w:p>
      <w:pPr>
        <w:ind w:firstLine="640" w:firstLineChars="200"/>
        <w:jc w:val="both"/>
        <w:rPr>
          <w:rFonts w:hint="eastAsia" w:eastAsia="仿宋_GB2312" w:cs="仿宋_GB2312" w:asciiTheme="minorAscii" w:hAnsiTheme="minorAscii"/>
          <w:b w:val="0"/>
          <w:bCs w:val="0"/>
          <w:sz w:val="32"/>
          <w:szCs w:val="32"/>
          <w:lang w:val="en-US" w:eastAsia="zh-CN"/>
        </w:rPr>
      </w:pPr>
      <w:r>
        <w:rPr>
          <w:rFonts w:hint="eastAsia" w:eastAsia="仿宋_GB2312" w:cs="仿宋_GB2312" w:asciiTheme="minorAscii" w:hAnsiTheme="minorAscii"/>
          <w:b w:val="0"/>
          <w:bCs w:val="0"/>
          <w:sz w:val="32"/>
          <w:szCs w:val="32"/>
          <w:lang w:val="en-US" w:eastAsia="zh-CN"/>
        </w:rPr>
        <w:t>措施1：建设一体化生活污水处理设施</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1"/>
          <w:szCs w:val="31"/>
          <w:lang w:val="en-US" w:eastAsia="zh-CN" w:bidi="ar"/>
        </w:rPr>
      </w:pPr>
      <w:r>
        <w:rPr>
          <w:rFonts w:hint="eastAsia" w:eastAsia="仿宋_GB2312" w:cs="仿宋_GB2312" w:asciiTheme="minorAscii" w:hAnsiTheme="minorAscii"/>
          <w:b w:val="0"/>
          <w:bCs w:val="0"/>
          <w:sz w:val="32"/>
          <w:szCs w:val="32"/>
          <w:lang w:val="en-US" w:eastAsia="zh-CN"/>
        </w:rPr>
        <w:t>完成情况：</w:t>
      </w:r>
      <w:r>
        <w:rPr>
          <w:rFonts w:hint="eastAsia" w:ascii="仿宋_GB2312" w:hAnsi="仿宋_GB2312" w:eastAsia="仿宋_GB2312" w:cs="仿宋_GB2312"/>
          <w:b w:val="0"/>
          <w:bCs w:val="0"/>
          <w:color w:val="auto"/>
          <w:kern w:val="2"/>
          <w:sz w:val="32"/>
          <w:szCs w:val="32"/>
          <w:lang w:val="en-US" w:eastAsia="zh-CN" w:bidi="ar-SA"/>
        </w:rPr>
        <w:t>2022年3月，委托昆明淼江泵业有限公司编制了《玉溪矿业有限公司龙都尾矿库生活污水处理项目技术方案》；2022年6月-9月，组织开展一体化生活污水处理设施安装调试；2022年8月25日经水质监测，满足《城市污水再生利用 城市杂用水质》（GB/T 18920-2020）标准要求；2022年10月18日，大红山龙都尾矿库管理部组织召开污水处理设施验收，验收结论：</w:t>
      </w:r>
      <w:r>
        <w:rPr>
          <w:rFonts w:ascii="仿宋_GB2312" w:hAnsi="宋体" w:eastAsia="仿宋_GB2312" w:cs="仿宋_GB2312"/>
          <w:color w:val="000000"/>
          <w:kern w:val="0"/>
          <w:sz w:val="31"/>
          <w:szCs w:val="31"/>
          <w:lang w:val="en-US" w:eastAsia="zh-CN" w:bidi="ar"/>
        </w:rPr>
        <w:t>尾矿库管理站生活污水处理站达到</w:t>
      </w:r>
      <w:r>
        <w:rPr>
          <w:rFonts w:hint="eastAsia" w:ascii="仿宋_GB2312" w:hAnsi="宋体" w:eastAsia="仿宋_GB2312" w:cs="仿宋_GB2312"/>
          <w:color w:val="000000"/>
          <w:kern w:val="0"/>
          <w:sz w:val="31"/>
          <w:szCs w:val="31"/>
          <w:lang w:val="en-US" w:eastAsia="zh-CN" w:bidi="ar"/>
        </w:rPr>
        <w:t>验收标准，同意验收，并对存在的问题按要求组织整改。</w:t>
      </w:r>
      <w:r>
        <w:rPr>
          <w:rFonts w:ascii="仿宋_GB2312" w:hAnsi="宋体" w:eastAsia="仿宋_GB2312" w:cs="仿宋_GB2312"/>
          <w:color w:val="000000"/>
          <w:kern w:val="0"/>
          <w:sz w:val="31"/>
          <w:szCs w:val="31"/>
          <w:lang w:val="en-US" w:eastAsia="zh-CN" w:bidi="ar"/>
        </w:rPr>
        <w:t>2022年11月10日</w:t>
      </w:r>
      <w:r>
        <w:rPr>
          <w:rFonts w:hint="eastAsia" w:ascii="仿宋_GB2312" w:hAnsi="宋体" w:eastAsia="仿宋_GB2312" w:cs="仿宋_GB2312"/>
          <w:color w:val="000000"/>
          <w:kern w:val="0"/>
          <w:sz w:val="31"/>
          <w:szCs w:val="31"/>
          <w:lang w:val="en-US" w:eastAsia="zh-CN" w:bidi="ar"/>
        </w:rPr>
        <w:t>施工单位完成问题整改，生活污水处理设施正式投入运行，目前运行状态良好，处理后的再生水用于周边树木绿化。</w:t>
      </w:r>
    </w:p>
    <w:p>
      <w:pPr>
        <w:ind w:firstLine="640" w:firstLineChars="200"/>
        <w:jc w:val="both"/>
        <w:rPr>
          <w:rFonts w:hint="eastAsia" w:eastAsia="仿宋_GB2312" w:cs="仿宋_GB2312" w:asciiTheme="minorAscii" w:hAnsiTheme="minorAscii"/>
          <w:b w:val="0"/>
          <w:bCs w:val="0"/>
          <w:sz w:val="32"/>
          <w:szCs w:val="32"/>
          <w:lang w:val="en-US" w:eastAsia="zh-CN"/>
        </w:rPr>
      </w:pPr>
      <w:bookmarkStart w:id="2" w:name="_GoBack"/>
      <w:bookmarkEnd w:id="2"/>
      <w:r>
        <w:rPr>
          <w:rFonts w:hint="eastAsia" w:eastAsia="仿宋_GB2312" w:cs="仿宋_GB2312" w:asciiTheme="minorAscii" w:hAnsiTheme="minorAscii"/>
          <w:b w:val="0"/>
          <w:bCs w:val="0"/>
          <w:sz w:val="32"/>
          <w:szCs w:val="32"/>
          <w:lang w:val="en-US" w:eastAsia="zh-CN"/>
        </w:rPr>
        <w:t>措施结论：已完成</w:t>
      </w:r>
    </w:p>
    <w:p>
      <w:pPr>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eastAsia="仿宋_GB2312" w:cs="仿宋_GB2312" w:asciiTheme="minorAscii" w:hAnsiTheme="minorAscii"/>
          <w:b w:val="0"/>
          <w:bCs w:val="0"/>
          <w:sz w:val="32"/>
          <w:szCs w:val="32"/>
          <w:lang w:val="en-US" w:eastAsia="zh-CN"/>
        </w:rPr>
        <w:t>措施2：</w:t>
      </w:r>
      <w:r>
        <w:rPr>
          <w:rFonts w:hint="eastAsia" w:ascii="仿宋_GB2312" w:hAnsi="仿宋_GB2312" w:eastAsia="仿宋_GB2312" w:cs="仿宋_GB2312"/>
          <w:b w:val="0"/>
          <w:bCs w:val="0"/>
          <w:color w:val="auto"/>
          <w:kern w:val="2"/>
          <w:sz w:val="32"/>
          <w:szCs w:val="32"/>
          <w:lang w:val="en-US" w:eastAsia="zh-CN" w:bidi="ar-SA"/>
        </w:rPr>
        <w:t>尾矿库监测计划执行情况</w:t>
      </w:r>
    </w:p>
    <w:p>
      <w:pPr>
        <w:pStyle w:val="4"/>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eastAsia="仿宋_GB2312" w:cs="仿宋_GB2312" w:asciiTheme="minorAscii" w:hAnsiTheme="minorAscii"/>
          <w:b w:val="0"/>
          <w:bCs w:val="0"/>
          <w:sz w:val="32"/>
          <w:szCs w:val="32"/>
          <w:lang w:val="en-US" w:eastAsia="zh-CN"/>
        </w:rPr>
        <w:t>完成情况：</w:t>
      </w:r>
      <w:r>
        <w:rPr>
          <w:rFonts w:hint="eastAsia" w:ascii="仿宋_GB2312" w:hAnsi="仿宋_GB2312" w:eastAsia="仿宋_GB2312" w:cs="仿宋_GB2312"/>
          <w:b w:val="0"/>
          <w:bCs w:val="0"/>
          <w:color w:val="auto"/>
          <w:kern w:val="2"/>
          <w:sz w:val="32"/>
          <w:szCs w:val="32"/>
          <w:lang w:val="en-US" w:eastAsia="zh-CN" w:bidi="ar-SA"/>
        </w:rPr>
        <w:t>2022年，按照尾矿库环评及排污许可证环境监测要求，委托云南省有色金属及制品质量监督检验站开展尾矿库环境监测，尾矿库废水排放口每月一次，无组织废气、噪声每季度一次，地下水每季度一次，地表水（枯水、平水、丰水期）各一次，土壤每年一次。经监测，各项目污染物均实现达标排放；地下水除铁、锰外各项特征污染物均满足Ⅲ类水标准，原因：该区域处于铁锰矿区，铁、锰指标相对较高。</w:t>
      </w:r>
    </w:p>
    <w:p>
      <w:pPr>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eastAsia="仿宋_GB2312" w:cs="仿宋_GB2312" w:asciiTheme="minorAscii" w:hAnsiTheme="minorAscii"/>
          <w:b w:val="0"/>
          <w:bCs w:val="0"/>
          <w:sz w:val="32"/>
          <w:szCs w:val="32"/>
          <w:lang w:val="en-US" w:eastAsia="zh-CN"/>
        </w:rPr>
        <w:t>措施结论：已完成</w:t>
      </w:r>
    </w:p>
    <w:p>
      <w:pPr>
        <w:pStyle w:val="4"/>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措施3：尾矿固废属性鉴别</w:t>
      </w:r>
    </w:p>
    <w:p>
      <w:pPr>
        <w:pStyle w:val="4"/>
        <w:ind w:firstLine="640" w:firstLineChars="200"/>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2022年4月，委托云南省有色金属及制品质量监督检验站开展尾矿固废属性鉴别，尾矿属性符合第I类一般工业固体废物。</w:t>
      </w:r>
    </w:p>
    <w:p>
      <w:pPr>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eastAsia="仿宋_GB2312" w:cs="仿宋_GB2312" w:asciiTheme="minorAscii" w:hAnsiTheme="minorAscii"/>
          <w:b w:val="0"/>
          <w:bCs w:val="0"/>
          <w:sz w:val="32"/>
          <w:szCs w:val="32"/>
          <w:lang w:val="en-US" w:eastAsia="zh-CN"/>
        </w:rPr>
        <w:t>措施结论：已完成</w:t>
      </w:r>
    </w:p>
    <w:p>
      <w:pPr>
        <w:ind w:firstLine="640" w:firstLineChars="200"/>
        <w:jc w:val="both"/>
        <w:rPr>
          <w:rFonts w:hint="default" w:ascii="仿宋_GB2312" w:hAnsi="仿宋_GB2312" w:eastAsia="仿宋_GB2312" w:cs="仿宋_GB2312"/>
          <w:b w:val="0"/>
          <w:bCs w:val="0"/>
          <w:color w:val="auto"/>
          <w:kern w:val="2"/>
          <w:sz w:val="32"/>
          <w:szCs w:val="32"/>
          <w:lang w:val="en-US" w:eastAsia="zh-CN" w:bidi="ar-SA"/>
        </w:rPr>
      </w:pP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pPr>
        <w:ind w:firstLine="640" w:firstLineChars="200"/>
        <w:jc w:val="both"/>
        <w:rPr>
          <w:rFonts w:hint="default" w:eastAsia="仿宋_GB2312" w:cs="仿宋_GB2312" w:asciiTheme="minorAscii" w:hAnsiTheme="minorAscii"/>
          <w:b w:val="0"/>
          <w:bCs w:val="0"/>
          <w:sz w:val="32"/>
          <w:szCs w:val="32"/>
          <w:lang w:val="en-US" w:eastAsia="zh-CN"/>
        </w:rPr>
      </w:pPr>
    </w:p>
    <w:p>
      <w:pPr>
        <w:jc w:val="both"/>
        <w:rPr>
          <w:rFonts w:hint="default" w:eastAsia="仿宋_GB2312" w:cs="仿宋_GB2312" w:asciiTheme="minorAscii" w:hAnsiTheme="minorAscii"/>
          <w:b w:val="0"/>
          <w:bCs w:val="0"/>
          <w:sz w:val="32"/>
          <w:szCs w:val="32"/>
          <w:lang w:val="en-US" w:eastAsia="zh-CN"/>
        </w:rPr>
      </w:pPr>
    </w:p>
    <w:p>
      <w:pPr>
        <w:jc w:val="both"/>
        <w:rPr>
          <w:rFonts w:hint="eastAsia" w:eastAsia="仿宋_GB2312" w:cs="仿宋_GB2312" w:asciiTheme="minorAscii" w:hAnsiTheme="minorAscii"/>
          <w:b w:val="0"/>
          <w:bCs w:val="0"/>
          <w:sz w:val="32"/>
          <w:szCs w:val="32"/>
          <w:lang w:val="en-US" w:eastAsia="zh-CN"/>
        </w:rPr>
      </w:pPr>
      <w:r>
        <w:rPr>
          <w:rFonts w:hint="eastAsia" w:eastAsia="仿宋_GB2312" w:cs="仿宋_GB2312" w:asciiTheme="minorAscii" w:hAnsiTheme="minorAscii"/>
          <w:b w:val="0"/>
          <w:bCs w:val="0"/>
          <w:sz w:val="32"/>
          <w:szCs w:val="32"/>
          <w:lang w:val="en-US" w:eastAsia="zh-CN"/>
        </w:rPr>
        <w:t xml:space="preserve">                               玉溪矿业有限公司</w:t>
      </w:r>
    </w:p>
    <w:p>
      <w:pPr>
        <w:jc w:val="both"/>
        <w:rPr>
          <w:rFonts w:hint="default" w:eastAsia="仿宋_GB2312" w:cs="仿宋_GB2312" w:asciiTheme="minorAscii" w:hAnsiTheme="minorAscii"/>
          <w:b w:val="0"/>
          <w:bCs w:val="0"/>
          <w:sz w:val="32"/>
          <w:szCs w:val="32"/>
          <w:lang w:val="en-US" w:eastAsia="zh-CN"/>
        </w:rPr>
      </w:pPr>
      <w:r>
        <w:rPr>
          <w:rFonts w:hint="eastAsia" w:eastAsia="仿宋_GB2312" w:cs="仿宋_GB2312" w:asciiTheme="minorAscii" w:hAnsiTheme="minorAscii"/>
          <w:b w:val="0"/>
          <w:bCs w:val="0"/>
          <w:sz w:val="32"/>
          <w:szCs w:val="32"/>
          <w:lang w:val="en-US" w:eastAsia="zh-CN"/>
        </w:rPr>
        <w:t xml:space="preserve">                               2023年2月18日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NjgzMTBjYWQ4N2Q3OWQ5ZWU2YzBlZmMzN2IxNzEifQ=="/>
  </w:docVars>
  <w:rsids>
    <w:rsidRoot w:val="00000000"/>
    <w:rsid w:val="20207B8B"/>
    <w:rsid w:val="22F558C3"/>
    <w:rsid w:val="37607F59"/>
    <w:rsid w:val="43FE23B1"/>
    <w:rsid w:val="46E22739"/>
    <w:rsid w:val="586C5364"/>
    <w:rsid w:val="75C57597"/>
    <w:rsid w:val="774E128E"/>
    <w:rsid w:val="7B8E0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2023-02-21T12:38:00Z</dcterms:created>
  <dc:creator>DELL</dc:creator>
  <cp:lastModifiedBy>夏鸿飞</cp:lastModifiedBy>
  <dcterms:modified xsi:type="dcterms:W3CDTF">2023-02-23T09:29:15Z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3C9E56EEBB3A45EF846CF2D8E899F6BD</vt:lpwstr>
  </property>
</Properties>
</file>