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76" w:rsidRDefault="00434497">
      <w:pPr>
        <w:widowControl/>
        <w:shd w:val="clear" w:color="auto" w:fill="FFFFFF"/>
        <w:spacing w:line="675" w:lineRule="atLeast"/>
        <w:jc w:val="center"/>
        <w:outlineLvl w:val="1"/>
        <w:rPr>
          <w:rFonts w:ascii="微软雅黑" w:eastAsia="微软雅黑" w:hAnsi="微软雅黑" w:cs="宋体"/>
          <w:color w:val="333333"/>
          <w:kern w:val="0"/>
          <w:sz w:val="36"/>
          <w:szCs w:val="36"/>
        </w:rPr>
      </w:pPr>
      <w:r>
        <w:rPr>
          <w:rFonts w:ascii="微软雅黑" w:eastAsia="微软雅黑" w:hAnsi="微软雅黑" w:cs="宋体" w:hint="eastAsia"/>
          <w:color w:val="333333"/>
          <w:kern w:val="0"/>
          <w:sz w:val="36"/>
          <w:szCs w:val="36"/>
        </w:rPr>
        <w:t>方正县宏宇热力有限公司</w:t>
      </w:r>
      <w:r>
        <w:rPr>
          <w:rFonts w:ascii="微软雅黑" w:eastAsia="微软雅黑" w:hAnsi="微软雅黑" w:cs="宋体" w:hint="eastAsia"/>
          <w:color w:val="333333"/>
          <w:kern w:val="0"/>
          <w:sz w:val="36"/>
          <w:szCs w:val="36"/>
        </w:rPr>
        <w:t>20</w:t>
      </w:r>
      <w:r>
        <w:rPr>
          <w:rFonts w:ascii="微软雅黑" w:eastAsia="微软雅黑" w:hAnsi="微软雅黑" w:cs="宋体" w:hint="eastAsia"/>
          <w:color w:val="333333"/>
          <w:kern w:val="0"/>
          <w:sz w:val="36"/>
          <w:szCs w:val="36"/>
        </w:rPr>
        <w:t>21</w:t>
      </w:r>
      <w:r>
        <w:rPr>
          <w:rFonts w:ascii="微软雅黑" w:eastAsia="微软雅黑" w:hAnsi="微软雅黑" w:cs="宋体" w:hint="eastAsia"/>
          <w:color w:val="333333"/>
          <w:kern w:val="0"/>
          <w:sz w:val="36"/>
          <w:szCs w:val="36"/>
        </w:rPr>
        <w:t>年</w:t>
      </w:r>
      <w:r>
        <w:rPr>
          <w:rFonts w:ascii="微软雅黑" w:eastAsia="微软雅黑" w:hAnsi="微软雅黑" w:cs="宋体" w:hint="eastAsia"/>
          <w:color w:val="333333"/>
          <w:kern w:val="0"/>
          <w:sz w:val="36"/>
          <w:szCs w:val="36"/>
        </w:rPr>
        <w:t>4</w:t>
      </w:r>
      <w:r>
        <w:rPr>
          <w:rFonts w:ascii="微软雅黑" w:eastAsia="微软雅黑" w:hAnsi="微软雅黑" w:cs="宋体" w:hint="eastAsia"/>
          <w:color w:val="333333"/>
          <w:kern w:val="0"/>
          <w:sz w:val="36"/>
          <w:szCs w:val="36"/>
        </w:rPr>
        <w:t>月份环境行为报告书</w:t>
      </w:r>
    </w:p>
    <w:p w:rsidR="003D0376" w:rsidRDefault="003D0376">
      <w:pPr>
        <w:widowControl/>
        <w:shd w:val="clear" w:color="auto" w:fill="FFFFFF"/>
        <w:spacing w:line="315" w:lineRule="atLeast"/>
        <w:rPr>
          <w:rFonts w:ascii="微软雅黑" w:eastAsia="微软雅黑" w:hAnsi="微软雅黑" w:cs="宋体"/>
          <w:color w:val="9A9A9A"/>
          <w:kern w:val="0"/>
          <w:szCs w:val="21"/>
        </w:rPr>
      </w:pPr>
    </w:p>
    <w:p w:rsidR="003D0376" w:rsidRDefault="00434497">
      <w:pPr>
        <w:widowControl/>
        <w:shd w:val="clear" w:color="auto" w:fill="FFFFFF"/>
        <w:spacing w:line="315" w:lineRule="atLeas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一、方正县宏宇热力有限公司基本情况：</w:t>
      </w:r>
    </w:p>
    <w:p w:rsidR="003D0376" w:rsidRDefault="00434497">
      <w:pPr>
        <w:widowControl/>
        <w:shd w:val="clear" w:color="auto" w:fill="FFFFFF"/>
        <w:spacing w:line="315" w:lineRule="atLeast"/>
        <w:ind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方正县宏宇热力有限公司位于黑龙江省哈尔滨市方正县物华街</w:t>
      </w:r>
      <w:r>
        <w:rPr>
          <w:rFonts w:ascii="宋体-PUA" w:eastAsia="宋体-PUA" w:hAnsi="微软雅黑" w:cs="宋体" w:hint="eastAsia"/>
          <w:color w:val="000000"/>
          <w:kern w:val="0"/>
          <w:sz w:val="24"/>
          <w:szCs w:val="24"/>
        </w:rPr>
        <w:t>3</w:t>
      </w:r>
      <w:r>
        <w:rPr>
          <w:rFonts w:ascii="宋体" w:eastAsia="宋体" w:hAnsi="宋体" w:cs="宋体" w:hint="eastAsia"/>
          <w:color w:val="000000"/>
          <w:kern w:val="0"/>
          <w:sz w:val="24"/>
          <w:szCs w:val="24"/>
        </w:rPr>
        <w:t>号，成立于</w:t>
      </w:r>
      <w:r>
        <w:rPr>
          <w:rFonts w:ascii="宋体-PUA" w:eastAsia="宋体-PUA" w:hAnsi="微软雅黑" w:cs="宋体" w:hint="eastAsia"/>
          <w:color w:val="000000"/>
          <w:kern w:val="0"/>
          <w:sz w:val="24"/>
          <w:szCs w:val="24"/>
        </w:rPr>
        <w:t>2014</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7</w:t>
      </w:r>
      <w:r>
        <w:rPr>
          <w:rFonts w:ascii="宋体" w:eastAsia="宋体" w:hAnsi="宋体" w:cs="宋体" w:hint="eastAsia"/>
          <w:color w:val="000000"/>
          <w:kern w:val="0"/>
          <w:sz w:val="24"/>
          <w:szCs w:val="24"/>
        </w:rPr>
        <w:t>月，注册资本</w:t>
      </w:r>
      <w:r>
        <w:rPr>
          <w:rFonts w:ascii="宋体-PUA" w:eastAsia="宋体-PUA" w:hAnsi="微软雅黑" w:cs="宋体" w:hint="eastAsia"/>
          <w:color w:val="000000"/>
          <w:kern w:val="0"/>
          <w:sz w:val="24"/>
          <w:szCs w:val="24"/>
        </w:rPr>
        <w:t>1000</w:t>
      </w:r>
      <w:r>
        <w:rPr>
          <w:rFonts w:ascii="宋体" w:eastAsia="宋体" w:hAnsi="宋体" w:cs="宋体" w:hint="eastAsia"/>
          <w:color w:val="000000"/>
          <w:kern w:val="0"/>
          <w:sz w:val="24"/>
          <w:szCs w:val="24"/>
        </w:rPr>
        <w:t>万元，固定资产</w:t>
      </w:r>
      <w:r>
        <w:rPr>
          <w:rFonts w:ascii="宋体-PUA" w:eastAsia="宋体-PUA" w:hAnsi="微软雅黑" w:cs="宋体" w:hint="eastAsia"/>
          <w:color w:val="000000"/>
          <w:kern w:val="0"/>
          <w:sz w:val="24"/>
          <w:szCs w:val="24"/>
        </w:rPr>
        <w:t>2.4</w:t>
      </w:r>
      <w:r>
        <w:rPr>
          <w:rFonts w:ascii="宋体" w:eastAsia="宋体" w:hAnsi="宋体" w:cs="宋体" w:hint="eastAsia"/>
          <w:color w:val="000000"/>
          <w:kern w:val="0"/>
          <w:sz w:val="24"/>
          <w:szCs w:val="24"/>
        </w:rPr>
        <w:t>亿元，并以股份转让的方式收购原热力公司。现有员工</w:t>
      </w:r>
      <w:r>
        <w:rPr>
          <w:rFonts w:ascii="宋体-PUA" w:eastAsia="宋体-PUA" w:hAnsi="微软雅黑" w:cs="宋体" w:hint="eastAsia"/>
          <w:color w:val="000000"/>
          <w:kern w:val="0"/>
          <w:sz w:val="24"/>
          <w:szCs w:val="24"/>
        </w:rPr>
        <w:t>100</w:t>
      </w:r>
      <w:r>
        <w:rPr>
          <w:rFonts w:ascii="宋体" w:eastAsia="宋体" w:hAnsi="宋体" w:cs="宋体" w:hint="eastAsia"/>
          <w:color w:val="000000"/>
          <w:kern w:val="0"/>
          <w:sz w:val="24"/>
          <w:szCs w:val="24"/>
        </w:rPr>
        <w:t>余人，其中管理人员</w:t>
      </w:r>
      <w:r>
        <w:rPr>
          <w:rFonts w:ascii="宋体-PUA" w:eastAsia="宋体-PUA" w:hAnsi="微软雅黑" w:cs="宋体" w:hint="eastAsia"/>
          <w:color w:val="000000"/>
          <w:kern w:val="0"/>
          <w:sz w:val="24"/>
          <w:szCs w:val="24"/>
        </w:rPr>
        <w:t>8</w:t>
      </w:r>
      <w:r>
        <w:rPr>
          <w:rFonts w:ascii="宋体" w:eastAsia="宋体" w:hAnsi="宋体" w:cs="宋体" w:hint="eastAsia"/>
          <w:color w:val="000000"/>
          <w:kern w:val="0"/>
          <w:sz w:val="24"/>
          <w:szCs w:val="24"/>
        </w:rPr>
        <w:t>人、技术人员</w:t>
      </w:r>
      <w:r>
        <w:rPr>
          <w:rFonts w:ascii="宋体-PUA" w:eastAsia="宋体-PUA" w:hAnsi="微软雅黑" w:cs="宋体" w:hint="eastAsia"/>
          <w:color w:val="000000"/>
          <w:kern w:val="0"/>
          <w:sz w:val="24"/>
          <w:szCs w:val="24"/>
        </w:rPr>
        <w:t>40</w:t>
      </w:r>
      <w:r>
        <w:rPr>
          <w:rFonts w:ascii="宋体" w:eastAsia="宋体" w:hAnsi="宋体" w:cs="宋体" w:hint="eastAsia"/>
          <w:color w:val="000000"/>
          <w:kern w:val="0"/>
          <w:sz w:val="24"/>
          <w:szCs w:val="24"/>
        </w:rPr>
        <w:t>余人，共有大中专及以上学历人员</w:t>
      </w:r>
      <w:r>
        <w:rPr>
          <w:rFonts w:ascii="宋体-PUA" w:eastAsia="宋体-PUA" w:hAnsi="微软雅黑" w:cs="宋体" w:hint="eastAsia"/>
          <w:color w:val="000000"/>
          <w:kern w:val="0"/>
          <w:sz w:val="24"/>
          <w:szCs w:val="24"/>
        </w:rPr>
        <w:t>23</w:t>
      </w:r>
      <w:r>
        <w:rPr>
          <w:rFonts w:ascii="宋体" w:eastAsia="宋体" w:hAnsi="宋体" w:cs="宋体" w:hint="eastAsia"/>
          <w:color w:val="000000"/>
          <w:kern w:val="0"/>
          <w:sz w:val="24"/>
          <w:szCs w:val="24"/>
        </w:rPr>
        <w:t>人。公司下设综合办公室、财务科、收费科、稽查科、生产科、维修科。拥有热源厂一座，办公楼一座，厂区占地面积</w:t>
      </w:r>
      <w:r>
        <w:rPr>
          <w:rFonts w:ascii="宋体-PUA" w:eastAsia="宋体-PUA" w:hAnsi="微软雅黑" w:cs="宋体" w:hint="eastAsia"/>
          <w:color w:val="000000"/>
          <w:kern w:val="0"/>
          <w:sz w:val="24"/>
          <w:szCs w:val="24"/>
        </w:rPr>
        <w:t>9</w:t>
      </w:r>
      <w:r>
        <w:rPr>
          <w:rFonts w:ascii="宋体" w:eastAsia="宋体" w:hAnsi="宋体" w:cs="宋体" w:hint="eastAsia"/>
          <w:color w:val="000000"/>
          <w:kern w:val="0"/>
          <w:sz w:val="24"/>
          <w:szCs w:val="24"/>
        </w:rPr>
        <w:t>万平方米，厂房建筑面积</w:t>
      </w:r>
      <w:r>
        <w:rPr>
          <w:rFonts w:ascii="宋体-PUA" w:eastAsia="宋体-PUA" w:hAnsi="微软雅黑" w:cs="宋体" w:hint="eastAsia"/>
          <w:color w:val="000000"/>
          <w:kern w:val="0"/>
          <w:sz w:val="24"/>
          <w:szCs w:val="24"/>
        </w:rPr>
        <w:t>2</w:t>
      </w:r>
      <w:r>
        <w:rPr>
          <w:rFonts w:ascii="宋体" w:eastAsia="宋体" w:hAnsi="宋体" w:cs="宋体" w:hint="eastAsia"/>
          <w:color w:val="000000"/>
          <w:kern w:val="0"/>
          <w:sz w:val="24"/>
          <w:szCs w:val="24"/>
        </w:rPr>
        <w:t>万平方米，办公楼建筑面积</w:t>
      </w:r>
      <w:r>
        <w:rPr>
          <w:rFonts w:ascii="宋体-PUA" w:eastAsia="宋体-PUA" w:hAnsi="微软雅黑" w:cs="宋体" w:hint="eastAsia"/>
          <w:color w:val="000000"/>
          <w:kern w:val="0"/>
          <w:sz w:val="24"/>
          <w:szCs w:val="24"/>
        </w:rPr>
        <w:t>4413</w:t>
      </w:r>
      <w:r>
        <w:rPr>
          <w:rFonts w:ascii="宋体" w:eastAsia="宋体" w:hAnsi="宋体" w:cs="宋体" w:hint="eastAsia"/>
          <w:color w:val="000000"/>
          <w:kern w:val="0"/>
          <w:sz w:val="24"/>
          <w:szCs w:val="24"/>
        </w:rPr>
        <w:t>平方米。并有</w:t>
      </w:r>
      <w:r>
        <w:rPr>
          <w:rFonts w:ascii="宋体-PUA" w:eastAsia="宋体-PUA" w:hAnsi="微软雅黑" w:cs="宋体" w:hint="eastAsia"/>
          <w:color w:val="000000"/>
          <w:kern w:val="0"/>
          <w:sz w:val="24"/>
          <w:szCs w:val="24"/>
        </w:rPr>
        <w:t>120</w:t>
      </w:r>
      <w:r>
        <w:rPr>
          <w:rFonts w:ascii="宋体" w:eastAsia="宋体" w:hAnsi="宋体" w:cs="宋体" w:hint="eastAsia"/>
          <w:color w:val="000000"/>
          <w:kern w:val="0"/>
          <w:sz w:val="24"/>
          <w:szCs w:val="24"/>
        </w:rPr>
        <w:t>吨热水锅炉</w:t>
      </w:r>
      <w:r>
        <w:rPr>
          <w:rFonts w:ascii="宋体-PUA" w:eastAsia="宋体-PUA" w:hAnsi="微软雅黑" w:cs="宋体" w:hint="eastAsia"/>
          <w:color w:val="000000"/>
          <w:kern w:val="0"/>
          <w:sz w:val="24"/>
          <w:szCs w:val="24"/>
        </w:rPr>
        <w:t>3</w:t>
      </w:r>
      <w:r>
        <w:rPr>
          <w:rFonts w:ascii="宋体" w:eastAsia="宋体" w:hAnsi="宋体" w:cs="宋体" w:hint="eastAsia"/>
          <w:color w:val="000000"/>
          <w:kern w:val="0"/>
          <w:sz w:val="24"/>
          <w:szCs w:val="24"/>
        </w:rPr>
        <w:t>台，换热站</w:t>
      </w:r>
      <w:r>
        <w:rPr>
          <w:rFonts w:ascii="宋体-PUA" w:eastAsia="宋体-PUA" w:hAnsi="微软雅黑" w:cs="宋体" w:hint="eastAsia"/>
          <w:color w:val="000000"/>
          <w:kern w:val="0"/>
          <w:sz w:val="24"/>
          <w:szCs w:val="24"/>
        </w:rPr>
        <w:t>6</w:t>
      </w:r>
      <w:r>
        <w:rPr>
          <w:rFonts w:ascii="宋体-PUA" w:eastAsia="宋体-PUA" w:hAnsi="微软雅黑" w:cs="宋体" w:hint="eastAsia"/>
          <w:color w:val="000000"/>
          <w:kern w:val="0"/>
          <w:sz w:val="24"/>
          <w:szCs w:val="24"/>
        </w:rPr>
        <w:t>3</w:t>
      </w:r>
      <w:r>
        <w:rPr>
          <w:rFonts w:ascii="宋体" w:eastAsia="宋体" w:hAnsi="宋体" w:cs="宋体" w:hint="eastAsia"/>
          <w:color w:val="000000"/>
          <w:kern w:val="0"/>
          <w:sz w:val="24"/>
          <w:szCs w:val="24"/>
        </w:rPr>
        <w:t>座，现已铺设供热一级管网</w:t>
      </w:r>
      <w:r>
        <w:rPr>
          <w:rFonts w:ascii="宋体-PUA" w:eastAsia="宋体-PUA" w:hAnsi="微软雅黑" w:cs="宋体" w:hint="eastAsia"/>
          <w:color w:val="000000"/>
          <w:kern w:val="0"/>
          <w:sz w:val="24"/>
          <w:szCs w:val="24"/>
        </w:rPr>
        <w:t>76</w:t>
      </w:r>
      <w:r>
        <w:rPr>
          <w:rFonts w:ascii="宋体" w:eastAsia="宋体" w:hAnsi="宋体" w:cs="宋体" w:hint="eastAsia"/>
          <w:color w:val="000000"/>
          <w:kern w:val="0"/>
          <w:sz w:val="24"/>
          <w:szCs w:val="24"/>
        </w:rPr>
        <w:t>公里，供热能力</w:t>
      </w:r>
      <w:r>
        <w:rPr>
          <w:rFonts w:ascii="宋体-PUA" w:eastAsia="宋体-PUA" w:hAnsi="微软雅黑" w:cs="宋体" w:hint="eastAsia"/>
          <w:color w:val="000000"/>
          <w:kern w:val="0"/>
          <w:sz w:val="24"/>
          <w:szCs w:val="24"/>
        </w:rPr>
        <w:t>360</w:t>
      </w:r>
      <w:r>
        <w:rPr>
          <w:rFonts w:ascii="宋体" w:eastAsia="宋体" w:hAnsi="宋体" w:cs="宋体" w:hint="eastAsia"/>
          <w:color w:val="000000"/>
          <w:kern w:val="0"/>
          <w:sz w:val="24"/>
          <w:szCs w:val="24"/>
        </w:rPr>
        <w:t>万平方米，现供热面积为</w:t>
      </w:r>
      <w:r>
        <w:rPr>
          <w:rFonts w:ascii="宋体-PUA" w:eastAsia="宋体-PUA" w:hAnsi="微软雅黑" w:cs="宋体" w:hint="eastAsia"/>
          <w:color w:val="000000"/>
          <w:kern w:val="0"/>
          <w:sz w:val="24"/>
          <w:szCs w:val="24"/>
        </w:rPr>
        <w:t>330</w:t>
      </w:r>
      <w:r>
        <w:rPr>
          <w:rFonts w:ascii="宋体" w:eastAsia="宋体" w:hAnsi="宋体" w:cs="宋体" w:hint="eastAsia"/>
          <w:color w:val="000000"/>
          <w:kern w:val="0"/>
          <w:sz w:val="24"/>
          <w:szCs w:val="24"/>
        </w:rPr>
        <w:t>万平方米，供热基本覆盖了县城</w:t>
      </w:r>
      <w:r>
        <w:rPr>
          <w:rFonts w:ascii="宋体-PUA" w:eastAsia="宋体-PUA" w:hAnsi="微软雅黑" w:cs="宋体" w:hint="eastAsia"/>
          <w:color w:val="000000"/>
          <w:kern w:val="0"/>
          <w:sz w:val="24"/>
          <w:szCs w:val="24"/>
        </w:rPr>
        <w:t>97%</w:t>
      </w:r>
      <w:r>
        <w:rPr>
          <w:rFonts w:ascii="宋体" w:eastAsia="宋体" w:hAnsi="宋体" w:cs="宋体" w:hint="eastAsia"/>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方正县宏宇热力有限公司统一社会信用代码：</w:t>
      </w:r>
    </w:p>
    <w:p w:rsidR="003D0376" w:rsidRDefault="00434497">
      <w:pPr>
        <w:widowControl/>
        <w:shd w:val="clear" w:color="auto" w:fill="FFFFFF"/>
        <w:spacing w:line="315" w:lineRule="atLeast"/>
        <w:ind w:firstLine="4080"/>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91230124300887264G</w:t>
      </w:r>
      <w:r>
        <w:rPr>
          <w:rFonts w:ascii="宋体" w:eastAsia="宋体" w:hAnsi="宋体" w:cs="宋体" w:hint="eastAsia"/>
          <w:color w:val="000000"/>
          <w:kern w:val="0"/>
          <w:sz w:val="24"/>
          <w:szCs w:val="24"/>
        </w:rPr>
        <w:t>（</w:t>
      </w:r>
      <w:r>
        <w:rPr>
          <w:rFonts w:ascii="宋体-PUA" w:eastAsia="宋体-PUA" w:hAnsi="微软雅黑" w:cs="宋体" w:hint="eastAsia"/>
          <w:color w:val="000000"/>
          <w:kern w:val="0"/>
          <w:sz w:val="24"/>
          <w:szCs w:val="24"/>
        </w:rPr>
        <w:t>1-1</w:t>
      </w:r>
      <w:r>
        <w:rPr>
          <w:rFonts w:ascii="宋体" w:eastAsia="宋体" w:hAnsi="宋体" w:cs="宋体" w:hint="eastAsia"/>
          <w:color w:val="000000"/>
          <w:kern w:val="0"/>
          <w:sz w:val="24"/>
          <w:szCs w:val="24"/>
        </w:rPr>
        <w:t>）</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方正县宏宇热力有限公司法定代表人：周德武</w:t>
      </w:r>
      <w:r>
        <w:rPr>
          <w:rFonts w:ascii="宋体-PUA" w:eastAsia="宋体-PUA" w:hAnsi="微软雅黑" w:cs="宋体" w:hint="eastAsia"/>
          <w:color w:val="000000"/>
          <w:kern w:val="0"/>
          <w:sz w:val="24"/>
          <w:szCs w:val="24"/>
        </w:rPr>
        <w:t>   </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生产负责人：洪伟</w:t>
      </w:r>
      <w:r>
        <w:rPr>
          <w:rFonts w:ascii="宋体-PUA" w:eastAsia="宋体-PUA" w:hAnsi="微软雅黑" w:cs="宋体" w:hint="eastAsia"/>
          <w:color w:val="000000"/>
          <w:kern w:val="0"/>
          <w:sz w:val="24"/>
          <w:szCs w:val="24"/>
        </w:rPr>
        <w:t>     </w:t>
      </w:r>
      <w:r>
        <w:rPr>
          <w:rFonts w:ascii="宋体" w:eastAsia="宋体" w:hAnsi="宋体" w:cs="宋体" w:hint="eastAsia"/>
          <w:color w:val="000000"/>
          <w:kern w:val="0"/>
          <w:sz w:val="24"/>
          <w:szCs w:val="24"/>
        </w:rPr>
        <w:t>联系电话：</w:t>
      </w:r>
      <w:r>
        <w:rPr>
          <w:rFonts w:ascii="宋体-PUA" w:eastAsia="宋体-PUA" w:hAnsi="微软雅黑" w:cs="宋体" w:hint="eastAsia"/>
          <w:color w:val="000000"/>
          <w:kern w:val="0"/>
          <w:sz w:val="24"/>
          <w:szCs w:val="24"/>
        </w:rPr>
        <w:t>13180622333</w:t>
      </w:r>
    </w:p>
    <w:p w:rsidR="003D0376" w:rsidRDefault="00434497">
      <w:pPr>
        <w:widowControl/>
        <w:shd w:val="clear" w:color="auto" w:fill="FFFFFF"/>
        <w:spacing w:line="390" w:lineRule="atLeast"/>
        <w:ind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二、排污信息：</w:t>
      </w:r>
    </w:p>
    <w:p w:rsidR="003D0376" w:rsidRDefault="00434497">
      <w:pPr>
        <w:widowControl/>
        <w:shd w:val="clear" w:color="auto" w:fill="FFFFFF"/>
        <w:spacing w:line="315" w:lineRule="atLeast"/>
        <w:ind w:firstLine="60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本工程采用处理工艺：</w:t>
      </w:r>
    </w:p>
    <w:p w:rsidR="003D0376" w:rsidRDefault="00434497">
      <w:pPr>
        <w:widowControl/>
        <w:numPr>
          <w:ilvl w:val="0"/>
          <w:numId w:val="1"/>
        </w:numPr>
        <w:shd w:val="clear" w:color="auto" w:fill="FFFFFF"/>
        <w:spacing w:line="315" w:lineRule="atLeast"/>
        <w:ind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双碱湿法脱硫技术，其主要工艺流程：钠钙双碱法</w:t>
      </w:r>
      <w:r>
        <w:rPr>
          <w:rFonts w:ascii="宋体-PUA" w:eastAsia="宋体-PUA" w:hAnsi="微软雅黑" w:cs="宋体" w:hint="eastAsia"/>
          <w:color w:val="000000"/>
          <w:kern w:val="0"/>
          <w:sz w:val="24"/>
          <w:szCs w:val="24"/>
        </w:rPr>
        <w:t>[</w:t>
      </w:r>
      <w:proofErr w:type="spellStart"/>
      <w:r>
        <w:rPr>
          <w:rFonts w:ascii="宋体-PUA" w:eastAsia="宋体-PUA" w:hAnsi="微软雅黑" w:cs="宋体" w:hint="eastAsia"/>
          <w:color w:val="000000"/>
          <w:kern w:val="0"/>
          <w:sz w:val="24"/>
          <w:szCs w:val="24"/>
        </w:rPr>
        <w:t>NaOH</w:t>
      </w:r>
      <w:proofErr w:type="spellEnd"/>
      <w:r>
        <w:rPr>
          <w:rFonts w:ascii="宋体-PUA" w:eastAsia="宋体-PUA" w:hAnsi="微软雅黑" w:cs="宋体" w:hint="eastAsia"/>
          <w:color w:val="000000"/>
          <w:kern w:val="0"/>
          <w:sz w:val="24"/>
          <w:szCs w:val="24"/>
        </w:rPr>
        <w:t xml:space="preserve"> / </w:t>
      </w:r>
      <w:proofErr w:type="spellStart"/>
      <w:r>
        <w:rPr>
          <w:rFonts w:ascii="宋体-PUA" w:eastAsia="宋体-PUA" w:hAnsi="微软雅黑" w:cs="宋体" w:hint="eastAsia"/>
          <w:color w:val="000000"/>
          <w:kern w:val="0"/>
          <w:sz w:val="24"/>
          <w:szCs w:val="24"/>
        </w:rPr>
        <w:t>CaO</w:t>
      </w:r>
      <w:proofErr w:type="spellEnd"/>
      <w:r>
        <w:rPr>
          <w:rFonts w:ascii="宋体-PUA" w:eastAsia="宋体-PUA" w:hAnsi="微软雅黑" w:cs="宋体" w:hint="eastAsia"/>
          <w:color w:val="000000"/>
          <w:kern w:val="0"/>
          <w:sz w:val="24"/>
          <w:szCs w:val="24"/>
        </w:rPr>
        <w:t>]</w:t>
      </w:r>
      <w:r>
        <w:rPr>
          <w:rFonts w:ascii="宋体" w:eastAsia="宋体" w:hAnsi="宋体" w:cs="宋体" w:hint="eastAsia"/>
          <w:color w:val="000000"/>
          <w:kern w:val="0"/>
          <w:sz w:val="24"/>
          <w:szCs w:val="24"/>
        </w:rPr>
        <w:t>，采用钠碱作为启动→钠钙吸收</w:t>
      </w:r>
      <w:r>
        <w:rPr>
          <w:rFonts w:ascii="宋体-PUA" w:eastAsia="宋体-PUA" w:hAnsi="微软雅黑" w:cs="宋体" w:hint="eastAsia"/>
          <w:color w:val="000000"/>
          <w:kern w:val="0"/>
          <w:sz w:val="24"/>
          <w:szCs w:val="24"/>
        </w:rPr>
        <w:t>SO2</w:t>
      </w:r>
      <w:r>
        <w:rPr>
          <w:rFonts w:ascii="宋体" w:eastAsia="宋体" w:hAnsi="宋体" w:cs="宋体" w:hint="eastAsia"/>
          <w:color w:val="000000"/>
          <w:kern w:val="0"/>
          <w:sz w:val="24"/>
          <w:szCs w:val="24"/>
        </w:rPr>
        <w:t>→产生石灰再次利用吸收</w:t>
      </w:r>
      <w:r>
        <w:rPr>
          <w:rFonts w:ascii="宋体-PUA" w:eastAsia="宋体-PUA" w:hAnsi="微软雅黑" w:cs="宋体" w:hint="eastAsia"/>
          <w:color w:val="000000"/>
          <w:kern w:val="0"/>
          <w:sz w:val="24"/>
          <w:szCs w:val="24"/>
        </w:rPr>
        <w:t>SO2</w:t>
      </w:r>
      <w:r>
        <w:rPr>
          <w:rFonts w:ascii="宋体" w:eastAsia="宋体" w:hAnsi="宋体" w:cs="宋体" w:hint="eastAsia"/>
          <w:color w:val="000000"/>
          <w:kern w:val="0"/>
          <w:sz w:val="24"/>
          <w:szCs w:val="24"/>
        </w:rPr>
        <w:t>→产物硫酸钙（石膏），最终达到排放标准要求。</w:t>
      </w:r>
    </w:p>
    <w:p w:rsidR="003D0376" w:rsidRDefault="00434497">
      <w:pPr>
        <w:widowControl/>
        <w:numPr>
          <w:ilvl w:val="0"/>
          <w:numId w:val="1"/>
        </w:numPr>
        <w:shd w:val="clear" w:color="auto" w:fill="FFFFFF"/>
        <w:spacing w:line="315" w:lineRule="atLeast"/>
        <w:ind w:firstLine="60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高分子脱销系统及烟气回收再利用技术，</w:t>
      </w:r>
      <w:r>
        <w:rPr>
          <w:rFonts w:ascii="宋体" w:eastAsia="宋体" w:hAnsi="宋体" w:cs="宋体" w:hint="eastAsia"/>
          <w:color w:val="000000"/>
          <w:kern w:val="0"/>
          <w:sz w:val="24"/>
          <w:szCs w:val="24"/>
        </w:rPr>
        <w:t>其主要工艺流程</w:t>
      </w:r>
      <w:r>
        <w:rPr>
          <w:rFonts w:ascii="宋体" w:eastAsia="宋体" w:hAnsi="宋体" w:cs="宋体" w:hint="eastAsia"/>
          <w:color w:val="000000"/>
          <w:kern w:val="0"/>
          <w:sz w:val="24"/>
          <w:szCs w:val="24"/>
        </w:rPr>
        <w:t>：将锅炉烟气再次循环利用，同时炭基脱硝剂通过设备喷入炉膛中和反应烟气中的氮氧化物并最终通过除尘器</w:t>
      </w:r>
      <w:r>
        <w:rPr>
          <w:rFonts w:ascii="宋体" w:eastAsia="宋体" w:hAnsi="宋体" w:cs="宋体" w:hint="eastAsia"/>
          <w:color w:val="000000"/>
          <w:kern w:val="0"/>
          <w:sz w:val="24"/>
          <w:szCs w:val="24"/>
        </w:rPr>
        <w:t>掉入收集装置</w:t>
      </w:r>
    </w:p>
    <w:p w:rsidR="003D0376" w:rsidRDefault="00434497">
      <w:pPr>
        <w:widowControl/>
        <w:shd w:val="clear" w:color="auto" w:fill="FFFFFF"/>
        <w:spacing w:line="315" w:lineRule="atLeast"/>
        <w:ind w:firstLine="600"/>
        <w:jc w:val="left"/>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lastRenderedPageBreak/>
        <w:t>3</w:t>
      </w:r>
      <w:r>
        <w:rPr>
          <w:rFonts w:ascii="宋体" w:eastAsia="宋体" w:hAnsi="宋体" w:cs="宋体" w:hint="eastAsia"/>
          <w:color w:val="000000"/>
          <w:kern w:val="0"/>
          <w:sz w:val="24"/>
          <w:szCs w:val="24"/>
        </w:rPr>
        <w:t>、布袋除尘技术，其主要工艺流程：锅炉烟气通过除尘器→烟尘颗粒物吸附布袋上→高压脉冲器震动布袋颗粒物掉入收集装置，最终达到排放标准要求。</w:t>
      </w:r>
    </w:p>
    <w:p w:rsidR="003D0376" w:rsidRDefault="00434497">
      <w:pPr>
        <w:widowControl/>
        <w:shd w:val="clear" w:color="auto" w:fill="FFFFFF"/>
        <w:spacing w:line="315" w:lineRule="atLeast"/>
        <w:ind w:firstLine="60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排放浓度和总量、核定排放总量情况如下表：</w:t>
      </w:r>
    </w:p>
    <w:tbl>
      <w:tblPr>
        <w:tblW w:w="7581" w:type="dxa"/>
        <w:shd w:val="clear" w:color="auto" w:fill="FFFFFF"/>
        <w:tblCellMar>
          <w:left w:w="0" w:type="dxa"/>
          <w:right w:w="0" w:type="dxa"/>
        </w:tblCellMar>
        <w:tblLook w:val="04A0"/>
      </w:tblPr>
      <w:tblGrid>
        <w:gridCol w:w="512"/>
        <w:gridCol w:w="1147"/>
        <w:gridCol w:w="1219"/>
        <w:gridCol w:w="1477"/>
        <w:gridCol w:w="2164"/>
        <w:gridCol w:w="1062"/>
      </w:tblGrid>
      <w:tr w:rsidR="003D0376">
        <w:trPr>
          <w:trHeight w:val="1158"/>
        </w:trPr>
        <w:tc>
          <w:tcPr>
            <w:tcW w:w="5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序号</w:t>
            </w:r>
          </w:p>
        </w:tc>
        <w:tc>
          <w:tcPr>
            <w:tcW w:w="1211"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 </w:t>
            </w:r>
          </w:p>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污染物项目</w:t>
            </w:r>
          </w:p>
        </w:tc>
        <w:tc>
          <w:tcPr>
            <w:tcW w:w="1241"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 </w:t>
            </w:r>
          </w:p>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锅炉</w:t>
            </w:r>
          </w:p>
        </w:tc>
        <w:tc>
          <w:tcPr>
            <w:tcW w:w="1506"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 </w:t>
            </w:r>
          </w:p>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排放浓度（</w:t>
            </w:r>
            <w:r>
              <w:rPr>
                <w:rFonts w:ascii="宋体-PUA" w:eastAsia="宋体-PUA" w:hAnsi="宋体" w:cs="宋体" w:hint="eastAsia"/>
                <w:color w:val="000000"/>
                <w:kern w:val="0"/>
                <w:sz w:val="24"/>
                <w:szCs w:val="24"/>
              </w:rPr>
              <w:t>mg/m</w:t>
            </w:r>
            <w:r>
              <w:rPr>
                <w:rFonts w:ascii="宋体" w:eastAsia="宋体" w:hAnsi="宋体" w:cs="宋体" w:hint="eastAsia"/>
                <w:color w:val="000000"/>
                <w:kern w:val="0"/>
                <w:sz w:val="24"/>
                <w:szCs w:val="24"/>
              </w:rPr>
              <w:t>³）</w:t>
            </w:r>
          </w:p>
        </w:tc>
        <w:tc>
          <w:tcPr>
            <w:tcW w:w="2031"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《黑龙江省锅炉大气污染物排放标准》</w:t>
            </w:r>
            <w:r>
              <w:rPr>
                <w:rFonts w:ascii="宋体-PUA" w:eastAsia="宋体-PUA" w:hAnsi="宋体" w:cs="宋体" w:hint="eastAsia"/>
                <w:color w:val="000000"/>
                <w:kern w:val="0"/>
                <w:sz w:val="24"/>
                <w:szCs w:val="24"/>
              </w:rPr>
              <w:t>DB37/2374-2013</w:t>
            </w:r>
            <w:r>
              <w:rPr>
                <w:rFonts w:ascii="宋体" w:eastAsia="宋体" w:hAnsi="宋体" w:cs="宋体" w:hint="eastAsia"/>
                <w:color w:val="000000"/>
                <w:kern w:val="0"/>
                <w:sz w:val="24"/>
                <w:szCs w:val="24"/>
              </w:rPr>
              <w:t>（</w:t>
            </w:r>
            <w:r>
              <w:rPr>
                <w:rFonts w:ascii="宋体-PUA" w:eastAsia="宋体-PUA" w:hAnsi="宋体" w:cs="宋体" w:hint="eastAsia"/>
                <w:color w:val="000000"/>
                <w:kern w:val="0"/>
                <w:sz w:val="24"/>
                <w:szCs w:val="24"/>
              </w:rPr>
              <w:t>mg/m</w:t>
            </w:r>
            <w:r>
              <w:rPr>
                <w:rFonts w:ascii="宋体" w:eastAsia="宋体" w:hAnsi="宋体" w:cs="宋体" w:hint="eastAsia"/>
                <w:color w:val="000000"/>
                <w:kern w:val="0"/>
                <w:sz w:val="24"/>
                <w:szCs w:val="24"/>
              </w:rPr>
              <w:t>³）</w:t>
            </w:r>
          </w:p>
        </w:tc>
        <w:tc>
          <w:tcPr>
            <w:tcW w:w="1074" w:type="dxa"/>
            <w:tcBorders>
              <w:top w:val="single" w:sz="8"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20</w:t>
            </w:r>
            <w:r>
              <w:rPr>
                <w:rFonts w:ascii="宋体-PUA" w:eastAsia="宋体-PUA" w:hAnsi="宋体" w:cs="宋体" w:hint="eastAsia"/>
                <w:color w:val="000000"/>
                <w:kern w:val="0"/>
                <w:sz w:val="24"/>
                <w:szCs w:val="24"/>
              </w:rPr>
              <w:t>21</w:t>
            </w:r>
            <w:r>
              <w:rPr>
                <w:rFonts w:ascii="宋体" w:eastAsia="宋体" w:hAnsi="宋体" w:cs="宋体" w:hint="eastAsia"/>
                <w:color w:val="000000"/>
                <w:kern w:val="0"/>
                <w:sz w:val="24"/>
                <w:szCs w:val="24"/>
              </w:rPr>
              <w:t>年</w:t>
            </w:r>
            <w:r>
              <w:rPr>
                <w:rFonts w:ascii="宋体-PUA" w:eastAsia="宋体-PUA" w:hAnsi="宋体" w:cs="宋体" w:hint="eastAsia"/>
                <w:color w:val="000000"/>
                <w:kern w:val="0"/>
                <w:sz w:val="24"/>
                <w:szCs w:val="24"/>
              </w:rPr>
              <w:t>4</w:t>
            </w:r>
            <w:r>
              <w:rPr>
                <w:rFonts w:ascii="宋体" w:eastAsia="宋体" w:hAnsi="宋体" w:cs="宋体" w:hint="eastAsia"/>
                <w:color w:val="000000"/>
                <w:kern w:val="0"/>
                <w:sz w:val="24"/>
                <w:szCs w:val="24"/>
              </w:rPr>
              <w:t>月污染物排总放量（吨）</w:t>
            </w:r>
          </w:p>
        </w:tc>
      </w:tr>
      <w:tr w:rsidR="003D0376">
        <w:tc>
          <w:tcPr>
            <w:tcW w:w="518"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1</w:t>
            </w:r>
          </w:p>
        </w:tc>
        <w:tc>
          <w:tcPr>
            <w:tcW w:w="121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烟尘</w:t>
            </w:r>
          </w:p>
        </w:tc>
        <w:tc>
          <w:tcPr>
            <w:tcW w:w="1241" w:type="dxa"/>
            <w:vMerge w:val="restart"/>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120t/h</w:t>
            </w:r>
            <w:r>
              <w:rPr>
                <w:rFonts w:ascii="宋体" w:eastAsia="宋体" w:hAnsi="宋体" w:cs="宋体" w:hint="eastAsia"/>
                <w:color w:val="000000"/>
                <w:kern w:val="0"/>
                <w:sz w:val="24"/>
                <w:szCs w:val="24"/>
              </w:rPr>
              <w:t>锅炉</w:t>
            </w:r>
          </w:p>
        </w:tc>
        <w:tc>
          <w:tcPr>
            <w:tcW w:w="1506"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10-30</w:t>
            </w:r>
          </w:p>
        </w:tc>
        <w:tc>
          <w:tcPr>
            <w:tcW w:w="203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30</w:t>
            </w:r>
          </w:p>
        </w:tc>
        <w:tc>
          <w:tcPr>
            <w:tcW w:w="107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jc w:val="center"/>
              <w:textAlignment w:val="center"/>
              <w:rPr>
                <w:rFonts w:ascii="宋体" w:eastAsia="宋体" w:hAnsi="宋体" w:cs="宋体"/>
                <w:b/>
                <w:color w:val="FF0000"/>
                <w:sz w:val="24"/>
                <w:szCs w:val="24"/>
              </w:rPr>
            </w:pPr>
            <w:bookmarkStart w:id="0" w:name="_GoBack"/>
            <w:r>
              <w:rPr>
                <w:rFonts w:ascii="宋体-PUA" w:eastAsia="宋体-PUA" w:hAnsi="宋体" w:cs="宋体" w:hint="eastAsia"/>
                <w:color w:val="000000"/>
                <w:kern w:val="0"/>
                <w:sz w:val="24"/>
                <w:szCs w:val="24"/>
              </w:rPr>
              <w:t>0.64</w:t>
            </w:r>
            <w:bookmarkEnd w:id="0"/>
          </w:p>
        </w:tc>
      </w:tr>
      <w:tr w:rsidR="003D0376">
        <w:tc>
          <w:tcPr>
            <w:tcW w:w="518"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2</w:t>
            </w:r>
          </w:p>
        </w:tc>
        <w:tc>
          <w:tcPr>
            <w:tcW w:w="121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二氧化硫</w:t>
            </w:r>
          </w:p>
        </w:tc>
        <w:tc>
          <w:tcPr>
            <w:tcW w:w="0" w:type="auto"/>
            <w:vMerge/>
            <w:tcBorders>
              <w:top w:val="outset" w:sz="6" w:space="0" w:color="000000"/>
              <w:left w:val="outset" w:sz="6" w:space="0" w:color="000000"/>
              <w:bottom w:val="single" w:sz="8" w:space="0" w:color="000000"/>
              <w:right w:val="single" w:sz="8" w:space="0" w:color="000000"/>
            </w:tcBorders>
            <w:shd w:val="clear" w:color="auto" w:fill="FFFFFF"/>
            <w:vAlign w:val="center"/>
          </w:tcPr>
          <w:p w:rsidR="003D0376" w:rsidRDefault="003D0376">
            <w:pPr>
              <w:widowControl/>
              <w:jc w:val="left"/>
              <w:rPr>
                <w:rFonts w:ascii="宋体" w:eastAsia="宋体" w:hAnsi="宋体" w:cs="宋体"/>
                <w:color w:val="333333"/>
                <w:kern w:val="0"/>
                <w:szCs w:val="21"/>
              </w:rPr>
            </w:pPr>
          </w:p>
        </w:tc>
        <w:tc>
          <w:tcPr>
            <w:tcW w:w="1506"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PUA" w:hAnsi="宋体" w:cs="宋体"/>
                <w:color w:val="333333"/>
                <w:kern w:val="0"/>
                <w:szCs w:val="21"/>
              </w:rPr>
            </w:pPr>
            <w:r>
              <w:rPr>
                <w:rFonts w:ascii="宋体-PUA" w:eastAsia="宋体-PUA" w:hAnsi="宋体" w:cs="宋体" w:hint="eastAsia"/>
                <w:color w:val="000000"/>
                <w:kern w:val="0"/>
                <w:sz w:val="24"/>
                <w:szCs w:val="24"/>
              </w:rPr>
              <w:t>90-1</w:t>
            </w:r>
            <w:r>
              <w:rPr>
                <w:rFonts w:ascii="宋体-PUA" w:eastAsia="宋体-PUA" w:hAnsi="宋体" w:cs="宋体" w:hint="eastAsia"/>
                <w:color w:val="000000"/>
                <w:kern w:val="0"/>
                <w:sz w:val="24"/>
                <w:szCs w:val="24"/>
              </w:rPr>
              <w:t>90</w:t>
            </w:r>
          </w:p>
        </w:tc>
        <w:tc>
          <w:tcPr>
            <w:tcW w:w="203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200</w:t>
            </w:r>
          </w:p>
        </w:tc>
        <w:tc>
          <w:tcPr>
            <w:tcW w:w="107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jc w:val="center"/>
              <w:textAlignment w:val="center"/>
              <w:rPr>
                <w:rFonts w:ascii="宋体-PUA" w:eastAsia="宋体-PUA" w:hAnsi="宋体" w:cs="宋体"/>
                <w:color w:val="000000"/>
                <w:kern w:val="0"/>
                <w:sz w:val="24"/>
                <w:szCs w:val="24"/>
              </w:rPr>
            </w:pPr>
            <w:r>
              <w:rPr>
                <w:rFonts w:ascii="宋体-PUA" w:eastAsia="宋体-PUA" w:hAnsi="宋体" w:cs="宋体" w:hint="eastAsia"/>
                <w:color w:val="000000"/>
                <w:kern w:val="0"/>
                <w:sz w:val="24"/>
                <w:szCs w:val="24"/>
              </w:rPr>
              <w:t>4.25</w:t>
            </w:r>
          </w:p>
        </w:tc>
      </w:tr>
      <w:tr w:rsidR="003D0376">
        <w:tc>
          <w:tcPr>
            <w:tcW w:w="518" w:type="dxa"/>
            <w:tcBorders>
              <w:top w:val="outset" w:sz="6"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3</w:t>
            </w:r>
          </w:p>
        </w:tc>
        <w:tc>
          <w:tcPr>
            <w:tcW w:w="121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 w:eastAsia="宋体" w:hAnsi="宋体" w:cs="宋体" w:hint="eastAsia"/>
                <w:color w:val="000000"/>
                <w:kern w:val="0"/>
                <w:sz w:val="24"/>
                <w:szCs w:val="24"/>
              </w:rPr>
              <w:t>氮氧化物</w:t>
            </w:r>
          </w:p>
        </w:tc>
        <w:tc>
          <w:tcPr>
            <w:tcW w:w="0" w:type="auto"/>
            <w:vMerge/>
            <w:tcBorders>
              <w:top w:val="outset" w:sz="6" w:space="0" w:color="000000"/>
              <w:left w:val="outset" w:sz="6" w:space="0" w:color="000000"/>
              <w:bottom w:val="single" w:sz="8" w:space="0" w:color="000000"/>
              <w:right w:val="single" w:sz="8" w:space="0" w:color="000000"/>
            </w:tcBorders>
            <w:shd w:val="clear" w:color="auto" w:fill="FFFFFF"/>
            <w:vAlign w:val="center"/>
          </w:tcPr>
          <w:p w:rsidR="003D0376" w:rsidRDefault="003D0376">
            <w:pPr>
              <w:widowControl/>
              <w:jc w:val="left"/>
              <w:rPr>
                <w:rFonts w:ascii="宋体" w:eastAsia="宋体" w:hAnsi="宋体" w:cs="宋体"/>
                <w:color w:val="333333"/>
                <w:kern w:val="0"/>
                <w:szCs w:val="21"/>
              </w:rPr>
            </w:pPr>
          </w:p>
        </w:tc>
        <w:tc>
          <w:tcPr>
            <w:tcW w:w="1506"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PUA" w:hAnsi="宋体" w:cs="宋体"/>
                <w:color w:val="333333"/>
                <w:kern w:val="0"/>
                <w:szCs w:val="21"/>
              </w:rPr>
            </w:pPr>
            <w:r>
              <w:rPr>
                <w:rFonts w:ascii="宋体-PUA" w:eastAsia="宋体-PUA" w:hAnsi="宋体" w:cs="宋体" w:hint="eastAsia"/>
                <w:color w:val="000000"/>
                <w:kern w:val="0"/>
                <w:sz w:val="24"/>
                <w:szCs w:val="24"/>
              </w:rPr>
              <w:t>90-1</w:t>
            </w:r>
            <w:r>
              <w:rPr>
                <w:rFonts w:ascii="宋体-PUA" w:eastAsia="宋体-PUA" w:hAnsi="宋体" w:cs="宋体" w:hint="eastAsia"/>
                <w:color w:val="000000"/>
                <w:kern w:val="0"/>
                <w:sz w:val="24"/>
                <w:szCs w:val="24"/>
              </w:rPr>
              <w:t>90</w:t>
            </w:r>
          </w:p>
        </w:tc>
        <w:tc>
          <w:tcPr>
            <w:tcW w:w="2031"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spacing w:line="390" w:lineRule="atLeast"/>
              <w:jc w:val="center"/>
              <w:rPr>
                <w:rFonts w:ascii="宋体" w:eastAsia="宋体" w:hAnsi="宋体" w:cs="宋体"/>
                <w:color w:val="333333"/>
                <w:kern w:val="0"/>
                <w:szCs w:val="21"/>
              </w:rPr>
            </w:pPr>
            <w:r>
              <w:rPr>
                <w:rFonts w:ascii="宋体-PUA" w:eastAsia="宋体-PUA" w:hAnsi="宋体" w:cs="宋体" w:hint="eastAsia"/>
                <w:color w:val="000000"/>
                <w:kern w:val="0"/>
                <w:sz w:val="24"/>
                <w:szCs w:val="24"/>
              </w:rPr>
              <w:t>200</w:t>
            </w:r>
          </w:p>
        </w:tc>
        <w:tc>
          <w:tcPr>
            <w:tcW w:w="1074" w:type="dxa"/>
            <w:tcBorders>
              <w:top w:val="outset" w:sz="6" w:space="0" w:color="000000"/>
              <w:left w:val="outset"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D0376" w:rsidRDefault="00434497">
            <w:pPr>
              <w:widowControl/>
              <w:jc w:val="center"/>
              <w:textAlignment w:val="center"/>
              <w:rPr>
                <w:rFonts w:ascii="宋体-PUA" w:eastAsia="宋体-PUA" w:hAnsi="宋体" w:cs="宋体"/>
                <w:color w:val="000000"/>
                <w:kern w:val="0"/>
                <w:sz w:val="24"/>
                <w:szCs w:val="24"/>
              </w:rPr>
            </w:pPr>
            <w:r>
              <w:rPr>
                <w:rFonts w:ascii="宋体-PUA" w:eastAsia="宋体-PUA" w:hAnsi="宋体" w:cs="宋体" w:hint="eastAsia"/>
                <w:color w:val="000000"/>
                <w:kern w:val="0"/>
                <w:sz w:val="24"/>
                <w:szCs w:val="24"/>
              </w:rPr>
              <w:t>4.72</w:t>
            </w:r>
          </w:p>
        </w:tc>
      </w:tr>
    </w:tbl>
    <w:p w:rsidR="003D0376" w:rsidRDefault="00434497">
      <w:pPr>
        <w:widowControl/>
        <w:shd w:val="clear" w:color="auto" w:fill="FFFFFF"/>
        <w:spacing w:line="390" w:lineRule="atLeast"/>
        <w:jc w:val="left"/>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 </w:t>
      </w:r>
    </w:p>
    <w:p w:rsidR="003D0376" w:rsidRDefault="00434497">
      <w:pPr>
        <w:widowControl/>
        <w:shd w:val="clear" w:color="auto" w:fill="FFFFFF"/>
        <w:spacing w:line="390" w:lineRule="atLeast"/>
        <w:ind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三、防治污染设施的建设和运行情况：</w:t>
      </w:r>
    </w:p>
    <w:p w:rsidR="003D0376" w:rsidRDefault="00434497">
      <w:pPr>
        <w:widowControl/>
        <w:shd w:val="clear" w:color="auto" w:fill="FFFFFF"/>
        <w:spacing w:line="315" w:lineRule="atLeast"/>
        <w:ind w:firstLine="480"/>
        <w:jc w:val="left"/>
        <w:rPr>
          <w:rFonts w:ascii="微软雅黑" w:eastAsia="宋体" w:hAnsi="微软雅黑" w:cs="宋体"/>
          <w:color w:val="333333"/>
          <w:kern w:val="0"/>
          <w:szCs w:val="21"/>
        </w:rPr>
      </w:pPr>
      <w:r>
        <w:rPr>
          <w:rFonts w:ascii="宋体" w:eastAsia="宋体" w:hAnsi="宋体" w:cs="宋体" w:hint="eastAsia"/>
          <w:color w:val="000000"/>
          <w:kern w:val="0"/>
          <w:sz w:val="24"/>
          <w:szCs w:val="24"/>
        </w:rPr>
        <w:t>方正县宏宇热力有限公司于</w:t>
      </w:r>
      <w:r>
        <w:rPr>
          <w:rFonts w:ascii="宋体-PUA" w:eastAsia="宋体-PUA" w:hAnsi="微软雅黑" w:cs="宋体" w:hint="eastAsia"/>
          <w:color w:val="000000"/>
          <w:kern w:val="0"/>
          <w:sz w:val="24"/>
          <w:szCs w:val="24"/>
        </w:rPr>
        <w:t>2014</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7</w:t>
      </w:r>
      <w:r>
        <w:rPr>
          <w:rFonts w:ascii="宋体" w:eastAsia="宋体" w:hAnsi="宋体" w:cs="宋体" w:hint="eastAsia"/>
          <w:color w:val="000000"/>
          <w:kern w:val="0"/>
          <w:sz w:val="24"/>
          <w:szCs w:val="24"/>
        </w:rPr>
        <w:t>月开始建设，</w:t>
      </w:r>
      <w:r>
        <w:rPr>
          <w:rFonts w:ascii="宋体-PUA" w:eastAsia="宋体-PUA" w:hAnsi="微软雅黑" w:cs="宋体" w:hint="eastAsia"/>
          <w:color w:val="000000"/>
          <w:kern w:val="0"/>
          <w:sz w:val="24"/>
          <w:szCs w:val="24"/>
        </w:rPr>
        <w:t>201</w:t>
      </w:r>
      <w:r>
        <w:rPr>
          <w:rFonts w:ascii="宋体-PUA" w:eastAsia="宋体-PUA" w:hAnsi="微软雅黑" w:cs="宋体" w:hint="eastAsia"/>
          <w:color w:val="000000"/>
          <w:kern w:val="0"/>
          <w:sz w:val="24"/>
          <w:szCs w:val="24"/>
        </w:rPr>
        <w:t>5</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1</w:t>
      </w:r>
      <w:r>
        <w:rPr>
          <w:rFonts w:ascii="宋体" w:eastAsia="宋体" w:hAnsi="宋体" w:cs="宋体" w:hint="eastAsia"/>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ascii="宋体" w:eastAsia="宋体" w:hAnsi="宋体" w:cs="宋体" w:hint="eastAsia"/>
          <w:color w:val="000000"/>
          <w:kern w:val="0"/>
          <w:sz w:val="24"/>
          <w:szCs w:val="24"/>
        </w:rPr>
        <w:t>、淄博科邦节能环保科技有限公司、泊头市佳锐环保除尘设备有限公司。</w:t>
      </w:r>
    </w:p>
    <w:p w:rsidR="003D0376" w:rsidRDefault="00434497">
      <w:pPr>
        <w:widowControl/>
        <w:shd w:val="clear" w:color="auto" w:fill="FFFFFF"/>
        <w:spacing w:line="315" w:lineRule="atLeast"/>
        <w:ind w:firstLine="60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方正县宏宇热力有限公司于</w:t>
      </w:r>
      <w:r>
        <w:rPr>
          <w:rFonts w:ascii="宋体-PUA" w:eastAsia="宋体-PUA" w:hAnsi="微软雅黑" w:cs="宋体" w:hint="eastAsia"/>
          <w:color w:val="000000"/>
          <w:kern w:val="0"/>
          <w:sz w:val="24"/>
          <w:szCs w:val="24"/>
        </w:rPr>
        <w:t>201</w:t>
      </w:r>
      <w:r>
        <w:rPr>
          <w:rFonts w:ascii="宋体-PUA" w:eastAsia="宋体-PUA" w:hAnsi="微软雅黑" w:cs="宋体" w:hint="eastAsia"/>
          <w:color w:val="000000"/>
          <w:kern w:val="0"/>
          <w:sz w:val="24"/>
          <w:szCs w:val="24"/>
        </w:rPr>
        <w:t>5</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1</w:t>
      </w:r>
      <w:r>
        <w:rPr>
          <w:rFonts w:ascii="宋体" w:eastAsia="宋体" w:hAnsi="宋体" w:cs="宋体" w:hint="eastAsia"/>
          <w:color w:val="000000"/>
          <w:kern w:val="0"/>
          <w:sz w:val="24"/>
          <w:szCs w:val="24"/>
        </w:rPr>
        <w:t>月完成脱硫设施建设并投入使用至今，</w:t>
      </w:r>
      <w:r>
        <w:rPr>
          <w:rFonts w:ascii="宋体" w:eastAsia="宋体" w:hAnsi="宋体" w:cs="宋体" w:hint="eastAsia"/>
          <w:color w:val="000000"/>
          <w:kern w:val="0"/>
          <w:sz w:val="24"/>
          <w:szCs w:val="24"/>
        </w:rPr>
        <w:t>2019</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完成</w:t>
      </w:r>
      <w:r>
        <w:rPr>
          <w:rFonts w:ascii="宋体" w:eastAsia="宋体" w:hAnsi="宋体" w:cs="宋体" w:hint="eastAsia"/>
          <w:color w:val="000000"/>
          <w:kern w:val="0"/>
          <w:sz w:val="24"/>
          <w:szCs w:val="24"/>
        </w:rPr>
        <w:t>脱销</w:t>
      </w:r>
      <w:r>
        <w:rPr>
          <w:rFonts w:ascii="宋体" w:eastAsia="宋体" w:hAnsi="宋体" w:cs="宋体" w:hint="eastAsia"/>
          <w:color w:val="000000"/>
          <w:kern w:val="0"/>
          <w:sz w:val="24"/>
          <w:szCs w:val="24"/>
        </w:rPr>
        <w:t>设施建设并投入使用至今，</w:t>
      </w:r>
      <w:r>
        <w:rPr>
          <w:rFonts w:ascii="宋体-PUA" w:eastAsia="宋体-PUA" w:hAnsi="微软雅黑" w:cs="宋体" w:hint="eastAsia"/>
          <w:color w:val="000000"/>
          <w:kern w:val="0"/>
          <w:sz w:val="24"/>
          <w:szCs w:val="24"/>
        </w:rPr>
        <w:t>201</w:t>
      </w:r>
      <w:r>
        <w:rPr>
          <w:rFonts w:ascii="宋体-PUA" w:eastAsia="宋体-PUA" w:hAnsi="微软雅黑" w:cs="宋体" w:hint="eastAsia"/>
          <w:color w:val="000000"/>
          <w:kern w:val="0"/>
          <w:sz w:val="24"/>
          <w:szCs w:val="24"/>
        </w:rPr>
        <w:t>5</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1</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完成</w:t>
      </w:r>
      <w:r>
        <w:rPr>
          <w:rFonts w:ascii="宋体" w:eastAsia="宋体" w:hAnsi="宋体" w:cs="宋体" w:hint="eastAsia"/>
          <w:color w:val="000000"/>
          <w:kern w:val="0"/>
          <w:sz w:val="24"/>
          <w:szCs w:val="24"/>
        </w:rPr>
        <w:t>建设布袋除尘器并正常运行投入使用至今。</w:t>
      </w:r>
    </w:p>
    <w:p w:rsidR="003D0376" w:rsidRDefault="00434497">
      <w:pPr>
        <w:widowControl/>
        <w:shd w:val="clear" w:color="auto" w:fill="FFFFFF"/>
        <w:spacing w:line="315" w:lineRule="atLeast"/>
        <w:ind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四、建设项目环境影响评价及其他环境保护行政许可情况：</w:t>
      </w:r>
    </w:p>
    <w:p w:rsidR="003D0376" w:rsidRDefault="00434497">
      <w:pPr>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、方正县宏宇热力有限公司环评报告表的批复</w:t>
      </w:r>
    </w:p>
    <w:p w:rsidR="003D0376" w:rsidRDefault="00434497">
      <w:pPr>
        <w:rPr>
          <w:rFonts w:ascii="宋体" w:eastAsia="宋体" w:hAnsi="宋体" w:cs="宋体"/>
          <w:color w:val="000000"/>
          <w:kern w:val="0"/>
          <w:sz w:val="24"/>
          <w:szCs w:val="24"/>
        </w:rPr>
      </w:pPr>
      <w:r>
        <w:rPr>
          <w:rFonts w:hint="eastAsia"/>
        </w:rPr>
        <w:t xml:space="preserve">   </w:t>
      </w:r>
      <w:r>
        <w:rPr>
          <w:rFonts w:hint="eastAsia"/>
        </w:rPr>
        <w:t xml:space="preserve"> </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、方正县宏宇热力有限公司环环境影响报告书</w:t>
      </w:r>
    </w:p>
    <w:p w:rsidR="003D0376" w:rsidRDefault="00434497">
      <w:pPr>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、在线设施验收专家意见</w:t>
      </w:r>
    </w:p>
    <w:p w:rsidR="003D0376" w:rsidRDefault="00434497">
      <w:pPr>
        <w:widowControl/>
        <w:shd w:val="clear" w:color="auto" w:fill="FFFFFF"/>
        <w:spacing w:line="315" w:lineRule="atLeast"/>
        <w:ind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五、突发环境应急预案：</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方正县宏宇热力有限公司，针对我公司热源厂地理、气候、工艺等特征，制定厂区环境保护措施，即：热源厂应急预案，现有应急预案如下：</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1</w:t>
      </w:r>
      <w:r>
        <w:rPr>
          <w:rFonts w:ascii="宋体" w:eastAsia="宋体" w:hAnsi="宋体" w:cs="宋体" w:hint="eastAsia"/>
          <w:color w:val="000000"/>
          <w:kern w:val="0"/>
          <w:sz w:val="24"/>
          <w:szCs w:val="24"/>
        </w:rPr>
        <w:t>、火灾应急预案；</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2</w:t>
      </w:r>
      <w:r>
        <w:rPr>
          <w:rFonts w:ascii="宋体" w:eastAsia="宋体" w:hAnsi="宋体" w:cs="宋体" w:hint="eastAsia"/>
          <w:color w:val="000000"/>
          <w:kern w:val="0"/>
          <w:sz w:val="24"/>
          <w:szCs w:val="24"/>
        </w:rPr>
        <w:t>、水质处理异常应急预案；</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lastRenderedPageBreak/>
        <w:t>3</w:t>
      </w:r>
      <w:r>
        <w:rPr>
          <w:rFonts w:ascii="宋体" w:eastAsia="宋体" w:hAnsi="宋体" w:cs="宋体" w:hint="eastAsia"/>
          <w:color w:val="000000"/>
          <w:kern w:val="0"/>
          <w:sz w:val="24"/>
          <w:szCs w:val="24"/>
        </w:rPr>
        <w:t>、停电事故处理应急预案；</w:t>
      </w:r>
    </w:p>
    <w:p w:rsidR="003D0376" w:rsidRDefault="00434497">
      <w:pPr>
        <w:widowControl/>
        <w:shd w:val="clear" w:color="auto" w:fill="FFFFFF"/>
        <w:spacing w:line="315" w:lineRule="atLeast"/>
        <w:ind w:firstLine="480"/>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4</w:t>
      </w:r>
      <w:r>
        <w:rPr>
          <w:rFonts w:ascii="宋体" w:eastAsia="宋体" w:hAnsi="宋体" w:cs="宋体" w:hint="eastAsia"/>
          <w:color w:val="000000"/>
          <w:kern w:val="0"/>
          <w:sz w:val="24"/>
          <w:szCs w:val="24"/>
        </w:rPr>
        <w:t>、重污染天气应急预案</w:t>
      </w:r>
    </w:p>
    <w:p w:rsidR="003D0376" w:rsidRDefault="00434497">
      <w:pPr>
        <w:widowControl/>
        <w:shd w:val="clear" w:color="auto" w:fill="FFFFFF"/>
        <w:spacing w:line="315" w:lineRule="atLeast"/>
        <w:ind w:right="560" w:firstLineChars="200" w:firstLine="480"/>
        <w:jc w:val="lef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截止</w:t>
      </w:r>
      <w:r>
        <w:rPr>
          <w:rFonts w:ascii="宋体-PUA" w:eastAsia="宋体-PUA" w:hAnsi="微软雅黑" w:cs="宋体" w:hint="eastAsia"/>
          <w:color w:val="000000"/>
          <w:kern w:val="0"/>
          <w:sz w:val="24"/>
          <w:szCs w:val="24"/>
        </w:rPr>
        <w:t>20</w:t>
      </w:r>
      <w:r>
        <w:rPr>
          <w:rFonts w:ascii="宋体-PUA" w:eastAsia="宋体-PUA" w:hAnsi="微软雅黑" w:cs="宋体" w:hint="eastAsia"/>
          <w:color w:val="000000"/>
          <w:kern w:val="0"/>
          <w:sz w:val="24"/>
          <w:szCs w:val="24"/>
        </w:rPr>
        <w:t>21</w:t>
      </w:r>
      <w:r>
        <w:rPr>
          <w:rFonts w:ascii="宋体" w:eastAsia="宋体" w:hAnsi="宋体" w:cs="宋体" w:hint="eastAsia"/>
          <w:color w:val="000000"/>
          <w:kern w:val="0"/>
          <w:sz w:val="24"/>
          <w:szCs w:val="24"/>
        </w:rPr>
        <w:t>年</w:t>
      </w:r>
      <w:r>
        <w:rPr>
          <w:rFonts w:ascii="宋体-PUA" w:eastAsia="宋体-PUA" w:hAnsi="微软雅黑" w:cs="宋体" w:hint="eastAsia"/>
          <w:color w:val="000000"/>
          <w:kern w:val="0"/>
          <w:sz w:val="24"/>
          <w:szCs w:val="24"/>
        </w:rPr>
        <w:t>4</w:t>
      </w:r>
      <w:r>
        <w:rPr>
          <w:rFonts w:ascii="宋体" w:eastAsia="宋体" w:hAnsi="宋体" w:cs="宋体" w:hint="eastAsia"/>
          <w:color w:val="000000"/>
          <w:kern w:val="0"/>
          <w:sz w:val="24"/>
          <w:szCs w:val="24"/>
        </w:rPr>
        <w:t>月</w:t>
      </w:r>
      <w:r>
        <w:rPr>
          <w:rFonts w:ascii="宋体-PUA" w:eastAsia="宋体-PUA" w:hAnsi="微软雅黑" w:cs="宋体" w:hint="eastAsia"/>
          <w:color w:val="000000"/>
          <w:kern w:val="0"/>
          <w:sz w:val="24"/>
          <w:szCs w:val="24"/>
        </w:rPr>
        <w:t>1</w:t>
      </w:r>
      <w:r>
        <w:rPr>
          <w:rFonts w:ascii="宋体" w:eastAsia="宋体" w:hAnsi="宋体" w:cs="宋体" w:hint="eastAsia"/>
          <w:color w:val="000000"/>
          <w:kern w:val="0"/>
          <w:sz w:val="24"/>
          <w:szCs w:val="24"/>
        </w:rPr>
        <w:t>日方正县宏宇热力有限公司烟气按环保标准排放，符合国家环保要求。</w:t>
      </w:r>
    </w:p>
    <w:p w:rsidR="003D0376" w:rsidRDefault="00434497">
      <w:pPr>
        <w:widowControl/>
        <w:shd w:val="clear" w:color="auto" w:fill="FFFFFF"/>
        <w:spacing w:line="315" w:lineRule="atLeast"/>
        <w:ind w:right="560"/>
        <w:jc w:val="left"/>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 </w:t>
      </w:r>
    </w:p>
    <w:p w:rsidR="003D0376" w:rsidRDefault="00434497">
      <w:pPr>
        <w:widowControl/>
        <w:shd w:val="clear" w:color="auto" w:fill="FFFFFF"/>
        <w:spacing w:line="315" w:lineRule="atLeast"/>
        <w:ind w:right="560"/>
        <w:jc w:val="right"/>
        <w:rPr>
          <w:rFonts w:ascii="微软雅黑" w:eastAsia="微软雅黑" w:hAnsi="微软雅黑" w:cs="宋体"/>
          <w:color w:val="333333"/>
          <w:kern w:val="0"/>
          <w:szCs w:val="21"/>
        </w:rPr>
      </w:pPr>
      <w:r>
        <w:rPr>
          <w:rFonts w:ascii="宋体-PUA" w:eastAsia="宋体-PUA" w:hAnsi="微软雅黑" w:cs="宋体" w:hint="eastAsia"/>
          <w:color w:val="000000"/>
          <w:kern w:val="0"/>
          <w:sz w:val="24"/>
          <w:szCs w:val="24"/>
        </w:rPr>
        <w:t> </w:t>
      </w:r>
    </w:p>
    <w:p w:rsidR="003D0376" w:rsidRDefault="00434497">
      <w:pPr>
        <w:widowControl/>
        <w:shd w:val="clear" w:color="auto" w:fill="FFFFFF"/>
        <w:spacing w:line="315" w:lineRule="atLeast"/>
        <w:ind w:right="140"/>
        <w:jc w:val="right"/>
        <w:rPr>
          <w:rFonts w:ascii="微软雅黑" w:eastAsia="微软雅黑" w:hAnsi="微软雅黑" w:cs="宋体"/>
          <w:color w:val="333333"/>
          <w:kern w:val="0"/>
          <w:szCs w:val="21"/>
        </w:rPr>
      </w:pPr>
      <w:r>
        <w:rPr>
          <w:rFonts w:ascii="宋体" w:eastAsia="宋体" w:hAnsi="宋体" w:cs="宋体" w:hint="eastAsia"/>
          <w:color w:val="000000"/>
          <w:kern w:val="0"/>
          <w:sz w:val="24"/>
          <w:szCs w:val="24"/>
        </w:rPr>
        <w:t>方正县宏宇热力有限公司</w:t>
      </w:r>
    </w:p>
    <w:p w:rsidR="003D0376" w:rsidRDefault="00434497">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20</w:t>
      </w: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月</w:t>
      </w:r>
      <w:r>
        <w:rPr>
          <w:rFonts w:ascii="宋体" w:eastAsia="宋体" w:hAnsi="宋体" w:cs="宋体" w:hint="eastAsia"/>
          <w:color w:val="000000"/>
          <w:kern w:val="0"/>
          <w:sz w:val="24"/>
          <w:szCs w:val="24"/>
        </w:rPr>
        <w:t>23</w:t>
      </w:r>
      <w:r>
        <w:rPr>
          <w:rFonts w:ascii="宋体" w:eastAsia="宋体" w:hAnsi="宋体" w:cs="宋体" w:hint="eastAsia"/>
          <w:color w:val="000000"/>
          <w:kern w:val="0"/>
          <w:sz w:val="24"/>
          <w:szCs w:val="24"/>
        </w:rPr>
        <w:t>日</w:t>
      </w: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434497">
      <w:pPr>
        <w:jc w:val="center"/>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lastRenderedPageBreak/>
        <w:drawing>
          <wp:inline distT="0" distB="0" distL="114300" distR="114300">
            <wp:extent cx="5257800" cy="7010400"/>
            <wp:effectExtent l="1905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6" cstate="email"/>
                    <a:stretch>
                      <a:fillRect/>
                    </a:stretch>
                  </pic:blipFill>
                  <pic:spPr>
                    <a:xfrm>
                      <a:off x="0" y="0"/>
                      <a:ext cx="5257800" cy="7010400"/>
                    </a:xfrm>
                    <a:prstGeom prst="rect">
                      <a:avLst/>
                    </a:prstGeom>
                  </pic:spPr>
                </pic:pic>
              </a:graphicData>
            </a:graphic>
          </wp:inline>
        </w:drawing>
      </w:r>
      <w:r>
        <w:rPr>
          <w:rFonts w:ascii="宋体" w:eastAsia="宋体" w:hAnsi="宋体" w:cs="宋体" w:hint="eastAsia"/>
          <w:noProof/>
          <w:color w:val="000000"/>
          <w:kern w:val="0"/>
          <w:sz w:val="24"/>
          <w:szCs w:val="24"/>
        </w:rPr>
        <w:lastRenderedPageBreak/>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7" cstate="email"/>
                    <a:stretch>
                      <a:fillRect/>
                    </a:stretch>
                  </pic:blipFill>
                  <pic:spPr>
                    <a:xfrm>
                      <a:off x="0" y="0"/>
                      <a:ext cx="5257800" cy="7010400"/>
                    </a:xfrm>
                    <a:prstGeom prst="rect">
                      <a:avLst/>
                    </a:prstGeom>
                  </pic:spPr>
                </pic:pic>
              </a:graphicData>
            </a:graphic>
          </wp:inline>
        </w:drawing>
      </w:r>
      <w:r>
        <w:rPr>
          <w:rFonts w:ascii="宋体" w:eastAsia="宋体" w:hAnsi="宋体" w:cs="宋体" w:hint="eastAsia"/>
          <w:noProof/>
          <w:color w:val="000000"/>
          <w:kern w:val="0"/>
          <w:sz w:val="24"/>
          <w:szCs w:val="24"/>
        </w:rPr>
        <w:lastRenderedPageBreak/>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8" cstate="email"/>
                    <a:stretch>
                      <a:fillRect/>
                    </a:stretch>
                  </pic:blipFill>
                  <pic:spPr>
                    <a:xfrm>
                      <a:off x="0" y="0"/>
                      <a:ext cx="5257800" cy="7010400"/>
                    </a:xfrm>
                    <a:prstGeom prst="rect">
                      <a:avLst/>
                    </a:prstGeom>
                  </pic:spPr>
                </pic:pic>
              </a:graphicData>
            </a:graphic>
          </wp:inline>
        </w:drawing>
      </w: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434497">
      <w:pPr>
        <w:jc w:val="center"/>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drawing>
          <wp:anchor distT="0" distB="0" distL="114300" distR="114300" simplePos="0" relativeHeight="251659264"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edited="0">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9" cstate="email"/>
                    <a:stretch>
                      <a:fillRect/>
                    </a:stretch>
                  </pic:blipFill>
                  <pic:spPr>
                    <a:xfrm rot="5400000">
                      <a:off x="0" y="0"/>
                      <a:ext cx="8203565" cy="6075045"/>
                    </a:xfrm>
                    <a:prstGeom prst="rect">
                      <a:avLst/>
                    </a:prstGeom>
                  </pic:spPr>
                </pic:pic>
              </a:graphicData>
            </a:graphic>
          </wp:anchor>
        </w:drawing>
      </w:r>
    </w:p>
    <w:p w:rsidR="003D0376" w:rsidRDefault="00434497">
      <w:pPr>
        <w:jc w:val="center"/>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w:lastRenderedPageBreak/>
        <w:drawing>
          <wp:anchor distT="0" distB="0" distL="114300" distR="114300" simplePos="0" relativeHeight="251658240"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edited="0">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10" cstate="email"/>
                    <a:stretch>
                      <a:fillRect/>
                    </a:stretch>
                  </pic:blipFill>
                  <pic:spPr>
                    <a:xfrm rot="5400000">
                      <a:off x="0" y="0"/>
                      <a:ext cx="8756650" cy="5314950"/>
                    </a:xfrm>
                    <a:prstGeom prst="rect">
                      <a:avLst/>
                    </a:prstGeom>
                  </pic:spPr>
                </pic:pic>
              </a:graphicData>
            </a:graphic>
          </wp:anchor>
        </w:drawing>
      </w: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p w:rsidR="003D0376" w:rsidRDefault="003D0376">
      <w:pPr>
        <w:jc w:val="center"/>
        <w:rPr>
          <w:rFonts w:ascii="宋体" w:eastAsia="宋体" w:hAnsi="宋体" w:cs="宋体"/>
          <w:color w:val="000000"/>
          <w:kern w:val="0"/>
          <w:sz w:val="24"/>
          <w:szCs w:val="24"/>
        </w:rPr>
      </w:pPr>
    </w:p>
    <w:sectPr w:rsidR="003D0376" w:rsidSect="003D03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PUA">
    <w:altName w:val="微软雅黑"/>
    <w:charset w:val="86"/>
    <w:family w:val="auto"/>
    <w:pitch w:val="default"/>
    <w:sig w:usb0="00000000" w:usb1="1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B60EE"/>
    <w:multiLevelType w:val="singleLevel"/>
    <w:tmpl w:val="84CB60E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83D6C"/>
    <w:rsid w:val="003D0376"/>
    <w:rsid w:val="00434497"/>
    <w:rsid w:val="0051238E"/>
    <w:rsid w:val="00683D6C"/>
    <w:rsid w:val="00D879D9"/>
    <w:rsid w:val="00E649A8"/>
    <w:rsid w:val="00F60073"/>
    <w:rsid w:val="03035207"/>
    <w:rsid w:val="05020100"/>
    <w:rsid w:val="05A17D48"/>
    <w:rsid w:val="08243184"/>
    <w:rsid w:val="085E2E99"/>
    <w:rsid w:val="0B0307AE"/>
    <w:rsid w:val="0DE95A5E"/>
    <w:rsid w:val="11040DAB"/>
    <w:rsid w:val="1C0F73C0"/>
    <w:rsid w:val="1DA3553D"/>
    <w:rsid w:val="1DB91994"/>
    <w:rsid w:val="21CE6EDA"/>
    <w:rsid w:val="269656C9"/>
    <w:rsid w:val="3AC603F9"/>
    <w:rsid w:val="3C7A33A4"/>
    <w:rsid w:val="3D547500"/>
    <w:rsid w:val="3E1E3694"/>
    <w:rsid w:val="3E7A656C"/>
    <w:rsid w:val="3ED76995"/>
    <w:rsid w:val="44A94ACA"/>
    <w:rsid w:val="462037B9"/>
    <w:rsid w:val="466447DC"/>
    <w:rsid w:val="46D15DED"/>
    <w:rsid w:val="4F424D4D"/>
    <w:rsid w:val="501D48BF"/>
    <w:rsid w:val="587D05BF"/>
    <w:rsid w:val="5E8D096D"/>
    <w:rsid w:val="5FD22430"/>
    <w:rsid w:val="63A63DAA"/>
    <w:rsid w:val="6E895A40"/>
    <w:rsid w:val="71AF512A"/>
    <w:rsid w:val="71B038E4"/>
    <w:rsid w:val="724C3180"/>
    <w:rsid w:val="795E6BAD"/>
    <w:rsid w:val="7DCC2F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7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D037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D03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D0376"/>
    <w:rPr>
      <w:sz w:val="18"/>
      <w:szCs w:val="18"/>
    </w:rPr>
  </w:style>
  <w:style w:type="character" w:customStyle="1" w:styleId="Char">
    <w:name w:val="页脚 Char"/>
    <w:basedOn w:val="a0"/>
    <w:link w:val="a3"/>
    <w:uiPriority w:val="99"/>
    <w:semiHidden/>
    <w:qFormat/>
    <w:rsid w:val="003D0376"/>
    <w:rPr>
      <w:sz w:val="18"/>
      <w:szCs w:val="18"/>
    </w:rPr>
  </w:style>
  <w:style w:type="paragraph" w:styleId="a5">
    <w:name w:val="Balloon Text"/>
    <w:basedOn w:val="a"/>
    <w:link w:val="Char1"/>
    <w:uiPriority w:val="99"/>
    <w:semiHidden/>
    <w:unhideWhenUsed/>
    <w:rsid w:val="00434497"/>
    <w:rPr>
      <w:sz w:val="18"/>
      <w:szCs w:val="18"/>
    </w:rPr>
  </w:style>
  <w:style w:type="character" w:customStyle="1" w:styleId="Char1">
    <w:name w:val="批注框文本 Char"/>
    <w:basedOn w:val="a0"/>
    <w:link w:val="a5"/>
    <w:uiPriority w:val="99"/>
    <w:semiHidden/>
    <w:rsid w:val="0043449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Sky123.Org</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2019-12-30T00:51:00Z</dcterms:created>
  <dcterms:modified xsi:type="dcterms:W3CDTF">2021-04-28T08:37:00Z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